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2BA" w14:textId="737E47B6" w:rsidR="00B24A8F" w:rsidRDefault="006E7865" w:rsidP="004119B4">
      <w:pPr>
        <w:spacing w:after="0"/>
      </w:pPr>
      <w:r w:rsidRPr="006E7865">
        <w:rPr>
          <w:noProof/>
        </w:rPr>
        <w:drawing>
          <wp:anchor distT="0" distB="0" distL="114300" distR="114300" simplePos="0" relativeHeight="251658240" behindDoc="0" locked="0" layoutInCell="1" allowOverlap="1" wp14:anchorId="4E91FB97" wp14:editId="63361800">
            <wp:simplePos x="0" y="0"/>
            <wp:positionH relativeFrom="column">
              <wp:posOffset>-183515</wp:posOffset>
            </wp:positionH>
            <wp:positionV relativeFrom="page">
              <wp:posOffset>312827</wp:posOffset>
            </wp:positionV>
            <wp:extent cx="2113200" cy="738000"/>
            <wp:effectExtent l="0" t="0" r="0" b="0"/>
            <wp:wrapNone/>
            <wp:docPr id="89" name="Image 88">
              <a:extLst xmlns:a="http://schemas.openxmlformats.org/drawingml/2006/main">
                <a:ext uri="{FF2B5EF4-FFF2-40B4-BE49-F238E27FC236}">
                  <a16:creationId xmlns:a16="http://schemas.microsoft.com/office/drawing/2014/main" id="{BF14F061-BD21-7B49-814B-90BAAC1E20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8">
                      <a:extLst>
                        <a:ext uri="{FF2B5EF4-FFF2-40B4-BE49-F238E27FC236}">
                          <a16:creationId xmlns:a16="http://schemas.microsoft.com/office/drawing/2014/main" id="{BF14F061-BD21-7B49-814B-90BAAC1E20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ADCBE" w14:textId="77777777" w:rsidR="000005D0" w:rsidRDefault="00B24A8F" w:rsidP="004119B4">
      <w:pPr>
        <w:jc w:val="left"/>
        <w:rPr>
          <w:b/>
          <w:sz w:val="24"/>
          <w:szCs w:val="24"/>
        </w:rPr>
      </w:pPr>
      <w:r w:rsidRPr="004119B4">
        <w:rPr>
          <w:b/>
          <w:sz w:val="24"/>
          <w:szCs w:val="24"/>
        </w:rPr>
        <w:t>Formulaire d</w:t>
      </w:r>
      <w:r w:rsidR="000005D0">
        <w:rPr>
          <w:b/>
          <w:sz w:val="24"/>
          <w:szCs w:val="24"/>
        </w:rPr>
        <w:t>’engagement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3121"/>
        <w:gridCol w:w="850"/>
        <w:gridCol w:w="567"/>
        <w:gridCol w:w="520"/>
        <w:gridCol w:w="898"/>
        <w:gridCol w:w="2081"/>
        <w:gridCol w:w="345"/>
      </w:tblGrid>
      <w:tr w:rsidR="008B7E82" w:rsidRPr="00A70F20" w14:paraId="38B5B328" w14:textId="77777777" w:rsidTr="004F3180">
        <w:trPr>
          <w:trHeight w:val="362"/>
        </w:trPr>
        <w:tc>
          <w:tcPr>
            <w:tcW w:w="10076" w:type="dxa"/>
            <w:gridSpan w:val="8"/>
            <w:shd w:val="clear" w:color="auto" w:fill="E7E6E6" w:themeFill="background2"/>
          </w:tcPr>
          <w:p w14:paraId="28935F24" w14:textId="3B285ADD" w:rsidR="008B7E82" w:rsidRPr="00B55DFD" w:rsidRDefault="008B7E82" w:rsidP="00FB5941">
            <w:pPr>
              <w:spacing w:before="40" w:after="40"/>
              <w:rPr>
                <w:b/>
              </w:rPr>
            </w:pPr>
            <w:r w:rsidRPr="00B55DFD">
              <w:rPr>
                <w:b/>
              </w:rPr>
              <w:t xml:space="preserve">Engagements </w:t>
            </w:r>
            <w:r w:rsidR="00785FC1" w:rsidRPr="00B55DFD">
              <w:rPr>
                <w:b/>
              </w:rPr>
              <w:t>de l’étudiante ou de l’étudiant</w:t>
            </w:r>
          </w:p>
        </w:tc>
      </w:tr>
      <w:tr w:rsidR="008B7E82" w:rsidRPr="00A70F20" w14:paraId="129C75C0" w14:textId="77777777" w:rsidTr="004F3180">
        <w:trPr>
          <w:trHeight w:val="3307"/>
        </w:trPr>
        <w:tc>
          <w:tcPr>
            <w:tcW w:w="10076" w:type="dxa"/>
            <w:gridSpan w:val="8"/>
            <w:tcBorders>
              <w:bottom w:val="nil"/>
            </w:tcBorders>
          </w:tcPr>
          <w:p w14:paraId="75D9D0EC" w14:textId="4E4D8012" w:rsidR="008B7E82" w:rsidRPr="00B55DFD" w:rsidRDefault="008B7E82" w:rsidP="00FB5941">
            <w:pPr>
              <w:spacing w:before="40" w:after="40"/>
            </w:pPr>
            <w:r w:rsidRPr="00B55DFD">
              <w:t xml:space="preserve">En </w:t>
            </w:r>
            <w:r w:rsidR="00B55DFD">
              <w:t xml:space="preserve">signant ce formulaire et en </w:t>
            </w:r>
            <w:r w:rsidR="00DE62C0" w:rsidRPr="00B55DFD">
              <w:t xml:space="preserve">déposant sa candidature au </w:t>
            </w:r>
            <w:r w:rsidR="005053B5" w:rsidRPr="00B55DFD">
              <w:t>P</w:t>
            </w:r>
            <w:r w:rsidR="00DE62C0" w:rsidRPr="00B55DFD">
              <w:t xml:space="preserve">rogramme de bourses d’excellence </w:t>
            </w:r>
            <w:r w:rsidR="005053B5" w:rsidRPr="00B55DFD">
              <w:t xml:space="preserve">aux études supérieures </w:t>
            </w:r>
            <w:r w:rsidR="00DE62C0" w:rsidRPr="00B55DFD">
              <w:t>de l’U</w:t>
            </w:r>
            <w:r w:rsidR="005053B5" w:rsidRPr="00B55DFD">
              <w:t>niversité de Sherbrooke,</w:t>
            </w:r>
            <w:r w:rsidRPr="00B55DFD">
              <w:t xml:space="preserve"> </w:t>
            </w:r>
            <w:r w:rsidR="00646118" w:rsidRPr="00B55DFD">
              <w:t xml:space="preserve">l’étudiante ou l’étudiant à qui une bourse est offerte </w:t>
            </w:r>
            <w:r w:rsidR="00DE62C0" w:rsidRPr="00B55DFD">
              <w:t>s’engage à :</w:t>
            </w:r>
          </w:p>
          <w:p w14:paraId="4030E53F" w14:textId="4F3C05DA" w:rsidR="00371815" w:rsidRPr="00B55DFD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 w:rsidRPr="00B55DFD">
              <w:t>respecter</w:t>
            </w:r>
            <w:proofErr w:type="gramEnd"/>
            <w:r w:rsidRPr="00B55DFD">
              <w:t xml:space="preserve"> les règles générales entourant la réalisation d'études supérieures à l'Université de Sherbrooke, de sa faculté d'attache ainsi que </w:t>
            </w:r>
            <w:r w:rsidR="00A475E1" w:rsidRPr="00B55DFD">
              <w:t xml:space="preserve">de </w:t>
            </w:r>
            <w:r w:rsidRPr="00B55DFD">
              <w:t xml:space="preserve">son programme d'étude et </w:t>
            </w:r>
            <w:r w:rsidR="00A475E1" w:rsidRPr="00B55DFD">
              <w:t xml:space="preserve">de </w:t>
            </w:r>
            <w:r w:rsidRPr="00B55DFD">
              <w:t xml:space="preserve">l'ensemble des conditions et exigences décrites dans le </w:t>
            </w:r>
            <w:hyperlink r:id="rId9" w:history="1">
              <w:r w:rsidRPr="00B55DFD">
                <w:rPr>
                  <w:rStyle w:val="Lienhypertexte"/>
                  <w:i/>
                </w:rPr>
                <w:t>Programme de bourses d’excellence aux études supérieures</w:t>
              </w:r>
            </w:hyperlink>
            <w:r w:rsidRPr="00B55DFD">
              <w:t>. La boursière ou le boursier qui ne se conforme pas à ces règles v</w:t>
            </w:r>
            <w:r w:rsidR="003E6A95" w:rsidRPr="00B55DFD">
              <w:t>erra</w:t>
            </w:r>
            <w:r w:rsidRPr="00B55DFD">
              <w:t xml:space="preserve"> sa bourse annulée immédiatement;</w:t>
            </w:r>
          </w:p>
          <w:p w14:paraId="3A985076" w14:textId="4981A637" w:rsidR="005053B5" w:rsidRPr="00B55DFD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 w:rsidRPr="00B55DFD">
              <w:t>soumettre</w:t>
            </w:r>
            <w:proofErr w:type="gramEnd"/>
            <w:r w:rsidRPr="00B55DFD">
              <w:t xml:space="preserve"> sa candidature à </w:t>
            </w:r>
            <w:r w:rsidR="00646118" w:rsidRPr="00B55DFD">
              <w:t xml:space="preserve">au moins un </w:t>
            </w:r>
            <w:r w:rsidRPr="00B55DFD">
              <w:t>concours de bourses d'organisme externe au cours de la 1</w:t>
            </w:r>
            <w:r w:rsidRPr="00B55DFD">
              <w:rPr>
                <w:vertAlign w:val="superscript"/>
              </w:rPr>
              <w:t>re</w:t>
            </w:r>
            <w:r w:rsidR="007169A0" w:rsidRPr="00B55DFD">
              <w:t> </w:t>
            </w:r>
            <w:r w:rsidRPr="00B55DFD">
              <w:t>année de validité de la bourse institutionnelle (sauf si aucun programme n'est disponible pour l'étudiante ou l'étudiant);</w:t>
            </w:r>
          </w:p>
          <w:p w14:paraId="107ECFFE" w14:textId="706D0F3F" w:rsidR="0046612A" w:rsidRPr="00B55DFD" w:rsidRDefault="00956D47" w:rsidP="0046612A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>
              <w:t>si</w:t>
            </w:r>
            <w:proofErr w:type="gramEnd"/>
            <w:r>
              <w:t xml:space="preserve"> une </w:t>
            </w:r>
            <w:r w:rsidRPr="0083014F">
              <w:rPr>
                <w:i/>
                <w:iCs/>
              </w:rPr>
              <w:t>Bourse d’excellence Laurent et Claire B. Beaudoin</w:t>
            </w:r>
            <w:r w:rsidRPr="00B55DFD">
              <w:t xml:space="preserve"> au doctorat </w:t>
            </w:r>
            <w:r>
              <w:t xml:space="preserve">est octroyée, en plus de soumettre également sa candidature à au moins un concours de bourses d’organisme externe, </w:t>
            </w:r>
            <w:r w:rsidR="005053B5" w:rsidRPr="00B55DFD">
              <w:t xml:space="preserve">soumettre sa candidature au </w:t>
            </w:r>
            <w:hyperlink r:id="rId10" w:history="1">
              <w:r w:rsidR="005053B5" w:rsidRPr="00B55DFD">
                <w:rPr>
                  <w:rStyle w:val="Lienhypertexte"/>
                </w:rPr>
                <w:t>Programme de bourses d’études supérieures du Canada Vanier</w:t>
              </w:r>
            </w:hyperlink>
            <w:r>
              <w:rPr>
                <w:rStyle w:val="Lienhypertexte"/>
              </w:rPr>
              <w:t xml:space="preserve"> (BESC Vanier)</w:t>
            </w:r>
            <w:r w:rsidR="005053B5" w:rsidRPr="00B55DFD">
              <w:t xml:space="preserve"> au cours de la 1</w:t>
            </w:r>
            <w:r w:rsidR="005053B5" w:rsidRPr="00B55DFD">
              <w:rPr>
                <w:vertAlign w:val="superscript"/>
              </w:rPr>
              <w:t>re</w:t>
            </w:r>
            <w:r w:rsidR="005053B5" w:rsidRPr="00B55DFD">
              <w:t xml:space="preserve"> année de validité de la bourse institutionnelle; </w:t>
            </w:r>
          </w:p>
          <w:p w14:paraId="1A1472DE" w14:textId="77AD1BCA" w:rsidR="00371815" w:rsidRPr="001939B8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 w:rsidRPr="00B55DFD">
              <w:t>aviser</w:t>
            </w:r>
            <w:proofErr w:type="gramEnd"/>
            <w:r w:rsidRPr="00B55DFD">
              <w:t xml:space="preserve"> immédiatement le secrétariat de son programme d'études et </w:t>
            </w:r>
            <w:r w:rsidR="00A475E1" w:rsidRPr="00B55DFD">
              <w:t xml:space="preserve">la </w:t>
            </w:r>
            <w:hyperlink r:id="rId11" w:history="1">
              <w:r w:rsidR="00A475E1" w:rsidRPr="00B55DFD">
                <w:rPr>
                  <w:rStyle w:val="Lienhypertexte"/>
                </w:rPr>
                <w:t>coordination du programme de bourses des cycles supérieurs des Services à la vie étudiante</w:t>
              </w:r>
            </w:hyperlink>
            <w:r w:rsidRPr="00B55DFD">
              <w:t xml:space="preserve"> de l'obtention d'une bourse externe. </w:t>
            </w:r>
            <w:r w:rsidR="001939B8" w:rsidRPr="00B61B36">
              <w:rPr>
                <w:sz w:val="20"/>
                <w:szCs w:val="20"/>
              </w:rPr>
              <w:t>…).</w:t>
            </w:r>
            <w:r w:rsidR="001939B8">
              <w:rPr>
                <w:sz w:val="20"/>
                <w:szCs w:val="20"/>
              </w:rPr>
              <w:t xml:space="preserve"> </w:t>
            </w:r>
            <w:r w:rsidR="001939B8" w:rsidRPr="001939B8">
              <w:t>Les règles détaillées concernant les autres sources de financement peuvent être consultées</w:t>
            </w:r>
            <w:r w:rsidR="0010681D">
              <w:t xml:space="preserve"> dans </w:t>
            </w:r>
            <w:r w:rsidR="008A1AD3">
              <w:t>la section</w:t>
            </w:r>
            <w:r w:rsidR="000F51EB">
              <w:t xml:space="preserve"> </w:t>
            </w:r>
            <w:r w:rsidR="005A3791" w:rsidRPr="002544BC">
              <w:t>16</w:t>
            </w:r>
            <w:r w:rsidR="00D2337B" w:rsidRPr="002544BC">
              <w:t xml:space="preserve"> du </w:t>
            </w:r>
            <w:hyperlink r:id="rId12" w:history="1">
              <w:r w:rsidR="00D2337B" w:rsidRPr="002544BC">
                <w:rPr>
                  <w:rStyle w:val="Lienhypertexte"/>
                </w:rPr>
                <w:t>Règlement du Programme de bourses d'excellence aux études supérieures en recherche de l'Université de Sherbrooke</w:t>
              </w:r>
            </w:hyperlink>
            <w:r w:rsidRPr="001939B8">
              <w:t>;</w:t>
            </w:r>
          </w:p>
          <w:p w14:paraId="093EB703" w14:textId="705F60CF" w:rsidR="00482611" w:rsidRPr="00B55DFD" w:rsidRDefault="0046612A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 w:rsidRPr="00B55DFD">
              <w:t>aviser</w:t>
            </w:r>
            <w:proofErr w:type="gramEnd"/>
            <w:r w:rsidRPr="00B55DFD">
              <w:t xml:space="preserve"> immédiatement le secrétariat de son programme d'études et la </w:t>
            </w:r>
            <w:hyperlink r:id="rId13" w:history="1">
              <w:r w:rsidRPr="00B55DFD">
                <w:rPr>
                  <w:rStyle w:val="Lienhypertexte"/>
                </w:rPr>
                <w:t>coordination du programme de bourses des cycles supérieurs des Services à la vie étudiante</w:t>
              </w:r>
            </w:hyperlink>
            <w:r w:rsidRPr="00B55DFD">
              <w:t xml:space="preserve"> en cas </w:t>
            </w:r>
            <w:r w:rsidR="00742785" w:rsidRPr="00B55DFD">
              <w:t xml:space="preserve">d’abandon de ses études ou </w:t>
            </w:r>
            <w:r w:rsidRPr="00B55DFD">
              <w:t>d’interruption d’études en raison d’un congé de maternité ou parental ou pour des raisons de santé majeures;</w:t>
            </w:r>
          </w:p>
          <w:p w14:paraId="1D8773A9" w14:textId="1B979F17" w:rsidR="00371815" w:rsidRPr="00B55DFD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 w:rsidRPr="00B55DFD">
              <w:t>présenter</w:t>
            </w:r>
            <w:proofErr w:type="gramEnd"/>
            <w:r w:rsidRPr="00B55DFD">
              <w:t xml:space="preserve"> ses travaux de recherche au moins une fois au cours de la période de validité de sa bourse à la journée scientifique du </w:t>
            </w:r>
            <w:hyperlink r:id="rId14" w:history="1">
              <w:r w:rsidRPr="00B55DFD">
                <w:rPr>
                  <w:rStyle w:val="Lienhypertexte"/>
                </w:rPr>
                <w:t>thème fédérateur de l'Université</w:t>
              </w:r>
            </w:hyperlink>
            <w:r w:rsidRPr="00B55DFD">
              <w:t xml:space="preserve"> le plus approprié;</w:t>
            </w:r>
          </w:p>
          <w:p w14:paraId="706CD908" w14:textId="77777777" w:rsidR="00371815" w:rsidRPr="00B55DFD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 w:rsidRPr="00B55DFD">
              <w:t>reconnaître</w:t>
            </w:r>
            <w:proofErr w:type="gramEnd"/>
            <w:r w:rsidRPr="00B55DFD">
              <w:t xml:space="preserve"> le soutien financier octroyé par l'Université de Sherbrooke (la bourse) dans ses publications et lors de présentations orales ou par affiches;</w:t>
            </w:r>
          </w:p>
          <w:p w14:paraId="7E9422F0" w14:textId="2F4C6082" w:rsidR="008B7E82" w:rsidRPr="00B55DFD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</w:pPr>
            <w:proofErr w:type="gramStart"/>
            <w:r w:rsidRPr="00B55DFD">
              <w:t>soumettre</w:t>
            </w:r>
            <w:proofErr w:type="gramEnd"/>
            <w:r w:rsidRPr="00B55DFD">
              <w:t xml:space="preserve"> un </w:t>
            </w:r>
            <w:hyperlink r:id="rId15" w:history="1">
              <w:r w:rsidRPr="00B55DFD">
                <w:rPr>
                  <w:rStyle w:val="Lienhypertexte"/>
                </w:rPr>
                <w:t xml:space="preserve">rapport </w:t>
              </w:r>
              <w:r w:rsidR="00E179EA" w:rsidRPr="00B55DFD">
                <w:rPr>
                  <w:rStyle w:val="Lienhypertexte"/>
                </w:rPr>
                <w:t>d’avancement</w:t>
              </w:r>
            </w:hyperlink>
            <w:r w:rsidR="00E179EA" w:rsidRPr="00B55DFD">
              <w:t xml:space="preserve"> annuel</w:t>
            </w:r>
            <w:r w:rsidRPr="00B55DFD">
              <w:t xml:space="preserve"> destiné au donateur au sujet de l'état d'avancement de ses travaux et de sa formation</w:t>
            </w:r>
            <w:r w:rsidR="0046612A" w:rsidRPr="00B55DFD">
              <w:t>;</w:t>
            </w:r>
          </w:p>
          <w:p w14:paraId="1ACF026B" w14:textId="0F587FE3" w:rsidR="0046612A" w:rsidRPr="00A70F20" w:rsidRDefault="0046612A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proofErr w:type="gramStart"/>
            <w:r w:rsidRPr="00B55DFD">
              <w:t>aviser</w:t>
            </w:r>
            <w:proofErr w:type="gramEnd"/>
            <w:r w:rsidRPr="00B55DFD">
              <w:t xml:space="preserve"> immédiatement le secrétariat de son programme d'études et la </w:t>
            </w:r>
            <w:hyperlink r:id="rId16" w:history="1">
              <w:r w:rsidRPr="00B55DFD">
                <w:rPr>
                  <w:rStyle w:val="Lienhypertexte"/>
                </w:rPr>
                <w:t>coordination du programme de bourses des cycles supérieurs des Services à la vie étudiante</w:t>
              </w:r>
            </w:hyperlink>
            <w:r w:rsidRPr="00B55DFD">
              <w:t xml:space="preserve"> </w:t>
            </w:r>
            <w:r w:rsidR="00CD7190" w:rsidRPr="00B55DFD">
              <w:t>de la fin de ses études et du dépôt final de son mémoire ou de sa thèse.</w:t>
            </w:r>
          </w:p>
        </w:tc>
      </w:tr>
      <w:tr w:rsidR="00BA4A4C" w:rsidRPr="00A70F20" w14:paraId="2CD9E5B4" w14:textId="77777777" w:rsidTr="0083014F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5E070B" w14:textId="77777777" w:rsidR="004E6F35" w:rsidRPr="00B55DFD" w:rsidRDefault="004E6F35" w:rsidP="00AD09C7">
            <w:pPr>
              <w:spacing w:before="40" w:after="40"/>
              <w:jc w:val="left"/>
            </w:pPr>
            <w:r w:rsidRPr="00B55DFD">
              <w:t>Prénom 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DEA1" w14:textId="77777777" w:rsidR="004E6F35" w:rsidRPr="00B55DFD" w:rsidRDefault="004E6F35" w:rsidP="00AD09C7">
            <w:pPr>
              <w:spacing w:before="40" w:after="4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91B8" w14:textId="77777777" w:rsidR="004E6F35" w:rsidRPr="00B55DFD" w:rsidRDefault="004E6F35" w:rsidP="00AD09C7">
            <w:pPr>
              <w:spacing w:before="40" w:after="40"/>
              <w:jc w:val="left"/>
            </w:pPr>
            <w:r w:rsidRPr="00B55DFD">
              <w:t>Nom 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80168" w14:textId="77777777" w:rsidR="004E6F35" w:rsidRPr="00B55DFD" w:rsidRDefault="004E6F35" w:rsidP="00AD09C7">
            <w:pPr>
              <w:spacing w:before="40" w:after="40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ACA26" w14:textId="77777777" w:rsidR="004E6F35" w:rsidRPr="00A70F20" w:rsidRDefault="004E6F35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4A4C" w:rsidRPr="00A70F20" w14:paraId="1A52BCFD" w14:textId="77777777" w:rsidTr="005F3BF0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4DF252" w14:textId="77777777" w:rsidR="008B7E82" w:rsidRPr="00B55DFD" w:rsidRDefault="008B7E82" w:rsidP="00AD09C7">
            <w:pPr>
              <w:spacing w:before="40" w:after="40"/>
              <w:jc w:val="left"/>
            </w:pPr>
            <w:r w:rsidRPr="00B55DFD">
              <w:t>Signature :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1C04" w14:textId="77777777" w:rsidR="008B7E82" w:rsidRPr="00B55DFD" w:rsidRDefault="008B7E82" w:rsidP="00AD09C7">
            <w:pPr>
              <w:spacing w:before="40" w:after="4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9255" w14:textId="77777777" w:rsidR="008B7E82" w:rsidRPr="00B55DFD" w:rsidRDefault="008B7E82" w:rsidP="00AD09C7">
            <w:pPr>
              <w:spacing w:before="40" w:after="40"/>
              <w:jc w:val="left"/>
            </w:pPr>
            <w:r w:rsidRPr="00B55DFD">
              <w:t>Date 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3884B" w14:textId="77777777" w:rsidR="008B7E82" w:rsidRPr="00B55DFD" w:rsidRDefault="008B7E82" w:rsidP="00AD09C7">
            <w:pPr>
              <w:spacing w:before="40" w:after="40"/>
              <w:jc w:val="center"/>
            </w:pPr>
            <w:bookmarkStart w:id="0" w:name="Texte11"/>
          </w:p>
        </w:tc>
        <w:bookmarkEnd w:id="0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06EAD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85FC1" w:rsidRPr="00A70F20" w14:paraId="354865E9" w14:textId="77777777" w:rsidTr="00785FC1">
        <w:trPr>
          <w:trHeight w:val="20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ED47B8" w14:textId="77777777" w:rsidR="00785FC1" w:rsidRPr="00B55DFD" w:rsidRDefault="00785FC1" w:rsidP="00AD09C7">
            <w:pPr>
              <w:spacing w:before="40" w:after="40"/>
              <w:jc w:val="left"/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52D32" w14:textId="77777777" w:rsidR="00785FC1" w:rsidRPr="00B55DFD" w:rsidRDefault="00785FC1" w:rsidP="00AD09C7">
            <w:pPr>
              <w:spacing w:before="40" w:after="40"/>
              <w:jc w:val="left"/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3985A" w14:textId="77777777" w:rsidR="00785FC1" w:rsidRPr="00B55DFD" w:rsidRDefault="00785FC1" w:rsidP="00AD09C7">
            <w:pPr>
              <w:spacing w:before="40" w:after="40"/>
              <w:jc w:val="left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88F96" w14:textId="77777777" w:rsidR="00785FC1" w:rsidRPr="00B55DFD" w:rsidRDefault="00785FC1" w:rsidP="00AD09C7">
            <w:pPr>
              <w:spacing w:before="40" w:after="40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2DA2" w14:textId="77777777" w:rsidR="00785FC1" w:rsidRPr="00A70F20" w:rsidRDefault="00785FC1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75DB681F" w14:textId="77777777" w:rsidR="00B55DFD" w:rsidRDefault="00B55DFD">
      <w:r>
        <w:br w:type="page"/>
      </w:r>
    </w:p>
    <w:tbl>
      <w:tblPr>
        <w:tblStyle w:val="Grilledutableau"/>
        <w:tblW w:w="10078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425"/>
        <w:gridCol w:w="2693"/>
        <w:gridCol w:w="427"/>
        <w:gridCol w:w="850"/>
        <w:gridCol w:w="4068"/>
        <w:gridCol w:w="345"/>
      </w:tblGrid>
      <w:tr w:rsidR="00785FC1" w:rsidRPr="00A70F20" w14:paraId="3F456A98" w14:textId="77777777" w:rsidTr="00B61B36">
        <w:trPr>
          <w:trHeight w:val="346"/>
        </w:trPr>
        <w:tc>
          <w:tcPr>
            <w:tcW w:w="100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60880E3" w14:textId="2C16A453" w:rsidR="00785FC1" w:rsidRPr="00B55DFD" w:rsidRDefault="00785FC1" w:rsidP="00785FC1">
            <w:pPr>
              <w:spacing w:before="40" w:after="40"/>
              <w:rPr>
                <w:b/>
              </w:rPr>
            </w:pPr>
            <w:r w:rsidRPr="00B55DFD">
              <w:rPr>
                <w:b/>
              </w:rPr>
              <w:lastRenderedPageBreak/>
              <w:t>Engagements de la direction de recherche</w:t>
            </w:r>
          </w:p>
        </w:tc>
      </w:tr>
      <w:tr w:rsidR="008B7E82" w:rsidRPr="00A70F20" w14:paraId="7433A2C3" w14:textId="77777777" w:rsidTr="00B61B36">
        <w:trPr>
          <w:trHeight w:val="1946"/>
        </w:trPr>
        <w:tc>
          <w:tcPr>
            <w:tcW w:w="10078" w:type="dxa"/>
            <w:gridSpan w:val="8"/>
            <w:tcBorders>
              <w:top w:val="single" w:sz="4" w:space="0" w:color="auto"/>
              <w:bottom w:val="nil"/>
            </w:tcBorders>
          </w:tcPr>
          <w:p w14:paraId="06824AA1" w14:textId="0F39EDB0" w:rsidR="008B7E82" w:rsidRPr="00B55DFD" w:rsidRDefault="00646118" w:rsidP="00FB5941">
            <w:pPr>
              <w:spacing w:before="40" w:after="40"/>
            </w:pPr>
            <w:r w:rsidRPr="00B55DFD">
              <w:t xml:space="preserve">En </w:t>
            </w:r>
            <w:r w:rsidR="004B05A8" w:rsidRPr="00B55DFD">
              <w:t xml:space="preserve">signant ce formulaire, la </w:t>
            </w:r>
            <w:r w:rsidR="008B7E82" w:rsidRPr="00B55DFD">
              <w:t>direction de recherche s’engage à :</w:t>
            </w:r>
          </w:p>
          <w:p w14:paraId="4F75ABEC" w14:textId="77777777" w:rsidR="00D75948" w:rsidRPr="00B55DFD" w:rsidRDefault="00D75948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</w:pPr>
            <w:proofErr w:type="gramStart"/>
            <w:r w:rsidRPr="00B55DFD">
              <w:t>aviser</w:t>
            </w:r>
            <w:proofErr w:type="gramEnd"/>
            <w:r w:rsidRPr="00B55DFD">
              <w:t xml:space="preserve"> le vice-décanat à la recherche de sa faculté du dépôt de la candidature</w:t>
            </w:r>
            <w:r w:rsidR="00EB4976" w:rsidRPr="00B55DFD">
              <w:t xml:space="preserve"> dans les plus brefs délais</w:t>
            </w:r>
            <w:r w:rsidRPr="00B55DFD">
              <w:t>;</w:t>
            </w:r>
          </w:p>
          <w:p w14:paraId="705167BB" w14:textId="33FB7FF2" w:rsidR="007169A0" w:rsidRPr="00B55DFD" w:rsidRDefault="00785FC1" w:rsidP="0083014F">
            <w:pPr>
              <w:pStyle w:val="Paragraphedeliste"/>
              <w:numPr>
                <w:ilvl w:val="0"/>
                <w:numId w:val="1"/>
              </w:numPr>
              <w:spacing w:after="0"/>
              <w:ind w:left="312" w:hanging="284"/>
            </w:pPr>
            <w:proofErr w:type="gramStart"/>
            <w:r w:rsidRPr="0083014F">
              <w:t>verser</w:t>
            </w:r>
            <w:proofErr w:type="gramEnd"/>
            <w:r w:rsidRPr="0083014F">
              <w:t xml:space="preserve"> la contrepartie de </w:t>
            </w:r>
            <w:r w:rsidR="00BC5459" w:rsidRPr="0083014F">
              <w:t>25</w:t>
            </w:r>
            <w:r w:rsidR="00C45AEB">
              <w:t xml:space="preserve"> </w:t>
            </w:r>
            <w:r w:rsidR="00BC5459" w:rsidRPr="0083014F">
              <w:t xml:space="preserve">% </w:t>
            </w:r>
            <w:r w:rsidRPr="0083014F">
              <w:t>de la valeur</w:t>
            </w:r>
            <w:r w:rsidR="0083014F" w:rsidRPr="0083014F">
              <w:t xml:space="preserve"> </w:t>
            </w:r>
            <w:r w:rsidR="00BC5459" w:rsidRPr="0083014F">
              <w:t xml:space="preserve">de la </w:t>
            </w:r>
            <w:r w:rsidR="005053B5" w:rsidRPr="0083014F">
              <w:rPr>
                <w:i/>
                <w:iCs/>
              </w:rPr>
              <w:t>Bourse d'excellence en recherche de l'Université de Sherbrooke</w:t>
            </w:r>
            <w:r w:rsidR="007C57D0" w:rsidRPr="0083014F">
              <w:t xml:space="preserve"> et ce,</w:t>
            </w:r>
            <w:r w:rsidR="007169A0" w:rsidRPr="0083014F">
              <w:t xml:space="preserve"> pour la </w:t>
            </w:r>
            <w:r w:rsidR="007169A0" w:rsidRPr="006163E4">
              <w:t xml:space="preserve">durée </w:t>
            </w:r>
            <w:r w:rsidR="007C57D0" w:rsidRPr="006163E4">
              <w:t xml:space="preserve">totale de </w:t>
            </w:r>
            <w:r w:rsidRPr="006163E4">
              <w:t xml:space="preserve">la bourse </w:t>
            </w:r>
            <w:r w:rsidR="0083014F" w:rsidRPr="006163E4">
              <w:t xml:space="preserve">octroyée </w:t>
            </w:r>
            <w:r w:rsidRPr="006163E4">
              <w:t>et selon le calendrier de versements prévu</w:t>
            </w:r>
            <w:r w:rsidR="003D0F49">
              <w:t xml:space="preserve">, tel qu’énoncé aux sections 12 et 13 du </w:t>
            </w:r>
            <w:hyperlink r:id="rId17" w:history="1">
              <w:r w:rsidR="003D0F49" w:rsidRPr="003D0F49">
                <w:rPr>
                  <w:rStyle w:val="Lienhypertexte"/>
                </w:rPr>
                <w:t>Règlement du Programme de bourses d'excellence aux études supérieures en recherche de l'Université de Sherbrooke</w:t>
              </w:r>
            </w:hyperlink>
            <w:r w:rsidRPr="0083014F">
              <w:t>.</w:t>
            </w:r>
            <w:r w:rsidRPr="0083014F">
              <w:rPr>
                <w:b/>
                <w:bCs/>
              </w:rPr>
              <w:t xml:space="preserve"> </w:t>
            </w:r>
            <w:r w:rsidRPr="00B55DFD">
              <w:t>Cette contrepartie peut provenir</w:t>
            </w:r>
            <w:r w:rsidR="007169A0" w:rsidRPr="00B55DFD">
              <w:t xml:space="preserve"> d’une</w:t>
            </w:r>
            <w:r w:rsidRPr="00B55DFD">
              <w:t xml:space="preserve"> </w:t>
            </w:r>
            <w:r w:rsidR="007169A0" w:rsidRPr="00B55DFD">
              <w:t>subvention</w:t>
            </w:r>
            <w:r w:rsidR="007C57D0" w:rsidRPr="00B55DFD">
              <w:t xml:space="preserve">, </w:t>
            </w:r>
            <w:r w:rsidRPr="00B55DFD">
              <w:t>d’un</w:t>
            </w:r>
            <w:r w:rsidR="00853B70" w:rsidRPr="00B55DFD">
              <w:t xml:space="preserve"> financement</w:t>
            </w:r>
            <w:r w:rsidR="007C57D0" w:rsidRPr="00B55DFD">
              <w:t xml:space="preserve"> détenu en commun ou par un regroupement</w:t>
            </w:r>
            <w:r w:rsidR="00BC5459" w:rsidRPr="00B55DFD">
              <w:t xml:space="preserve"> de </w:t>
            </w:r>
            <w:r w:rsidRPr="00B55DFD">
              <w:t>recherche</w:t>
            </w:r>
            <w:r w:rsidR="0083014F">
              <w:t>.</w:t>
            </w:r>
            <w:r w:rsidR="00C45AEB">
              <w:t xml:space="preserve"> </w:t>
            </w:r>
          </w:p>
          <w:p w14:paraId="45D662DA" w14:textId="77777777" w:rsidR="007169A0" w:rsidRPr="00B55DFD" w:rsidRDefault="007169A0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</w:pPr>
            <w:proofErr w:type="gramStart"/>
            <w:r w:rsidRPr="00B55DFD">
              <w:t>encadrer</w:t>
            </w:r>
            <w:proofErr w:type="gramEnd"/>
            <w:r w:rsidRPr="00B55DFD">
              <w:t xml:space="preserve"> les travaux de recherche de la boursière ou du boursier;</w:t>
            </w:r>
          </w:p>
          <w:p w14:paraId="6B5447AA" w14:textId="77777777" w:rsidR="001849DC" w:rsidRPr="00B55DFD" w:rsidRDefault="007169A0" w:rsidP="00D75948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</w:pPr>
            <w:proofErr w:type="gramStart"/>
            <w:r w:rsidRPr="00B55DFD">
              <w:t>fournir</w:t>
            </w:r>
            <w:proofErr w:type="gramEnd"/>
            <w:r w:rsidR="007C57D0" w:rsidRPr="00B55DFD">
              <w:t xml:space="preserve"> à la boursière ou au boursier</w:t>
            </w:r>
            <w:r w:rsidRPr="00B55DFD">
              <w:t xml:space="preserve"> les moyens matériels et financiers requis pour la bonne réalisation de son projet de recherche</w:t>
            </w:r>
            <w:r w:rsidR="00D75948" w:rsidRPr="00B55DFD">
              <w:t>.</w:t>
            </w:r>
          </w:p>
          <w:p w14:paraId="2B0939BD" w14:textId="06D87463" w:rsidR="00785FC1" w:rsidRPr="00CE54A4" w:rsidRDefault="00785FC1" w:rsidP="001C085C">
            <w:pPr>
              <w:spacing w:after="120"/>
              <w:ind w:left="29"/>
              <w:jc w:val="left"/>
              <w:rPr>
                <w:b/>
                <w:bCs/>
                <w:u w:val="single"/>
              </w:rPr>
            </w:pPr>
            <w:r w:rsidRPr="00CE54A4">
              <w:rPr>
                <w:b/>
                <w:bCs/>
                <w:u w:val="single"/>
              </w:rPr>
              <w:t xml:space="preserve">Condition particulière liée à l’obtention d’une </w:t>
            </w:r>
            <w:r w:rsidRPr="00CE54A4">
              <w:rPr>
                <w:b/>
                <w:bCs/>
                <w:i/>
                <w:iCs/>
                <w:u w:val="single"/>
              </w:rPr>
              <w:t>Bourse d’excellence Laurent et Claire B. Beaudoin</w:t>
            </w:r>
          </w:p>
          <w:p w14:paraId="1EFDF520" w14:textId="568D67B0" w:rsidR="00CE54A4" w:rsidRDefault="00785FC1" w:rsidP="00CE54A4">
            <w:pPr>
              <w:spacing w:after="120"/>
              <w:ind w:left="29"/>
            </w:pPr>
            <w:r w:rsidRPr="00B55DFD">
              <w:t xml:space="preserve">Si l’étudiante ou l’étudiant se voit offrir une </w:t>
            </w:r>
            <w:r w:rsidRPr="00B55DFD">
              <w:rPr>
                <w:i/>
                <w:iCs/>
              </w:rPr>
              <w:t>Bourse d’excellence Laurent et Claire B. Beaudoin</w:t>
            </w:r>
            <w:r w:rsidRPr="00B55DFD">
              <w:t xml:space="preserve">, la direction de recherche s’engage à verser la contrepartie de 25 % de la valeur de </w:t>
            </w:r>
            <w:r w:rsidR="007D589F">
              <w:t xml:space="preserve">la </w:t>
            </w:r>
            <w:r w:rsidR="00712609" w:rsidRPr="00B55DFD">
              <w:rPr>
                <w:i/>
                <w:iCs/>
              </w:rPr>
              <w:t>Bourse d’excellence Laurent et Claire B. Beaudoin</w:t>
            </w:r>
            <w:r w:rsidR="00712609" w:rsidRPr="00B55DFD" w:rsidDel="00712609">
              <w:t xml:space="preserve"> </w:t>
            </w:r>
            <w:r w:rsidRPr="00B55DFD">
              <w:t xml:space="preserve">et ce, pour la </w:t>
            </w:r>
            <w:r w:rsidRPr="006163E4">
              <w:t xml:space="preserve">durée totale de la bourse </w:t>
            </w:r>
            <w:r w:rsidR="007D589F" w:rsidRPr="006163E4">
              <w:t xml:space="preserve">octroyée </w:t>
            </w:r>
            <w:r w:rsidRPr="006163E4">
              <w:t>et selon le calendrier de versements</w:t>
            </w:r>
            <w:r w:rsidR="00EF765C" w:rsidRPr="006163E4">
              <w:t xml:space="preserve"> </w:t>
            </w:r>
            <w:r w:rsidRPr="006163E4">
              <w:t>prévus</w:t>
            </w:r>
            <w:r w:rsidR="00712609">
              <w:t xml:space="preserve"> </w:t>
            </w:r>
            <w:r w:rsidR="003D0F49" w:rsidRPr="003D0F49">
              <w:t xml:space="preserve">tel qu’énoncé aux sections 12 et 13 du </w:t>
            </w:r>
            <w:hyperlink r:id="rId18" w:history="1">
              <w:r w:rsidR="003D0F49" w:rsidRPr="003D0F49">
                <w:rPr>
                  <w:rStyle w:val="Lienhypertexte"/>
                </w:rPr>
                <w:t>Règlement du Programme de bourses d'excellence aux études supérieures en recherche de l'Université de Sherbrooke</w:t>
              </w:r>
            </w:hyperlink>
            <w:r w:rsidR="003D0F49" w:rsidRPr="003D0F49">
              <w:t xml:space="preserve"> </w:t>
            </w:r>
            <w:r w:rsidR="00712609">
              <w:t>(sauf</w:t>
            </w:r>
            <w:r w:rsidR="00FC632B">
              <w:t xml:space="preserve"> </w:t>
            </w:r>
            <w:r w:rsidR="00C02C70">
              <w:t xml:space="preserve">si l’étudiante ou l’étudiant obtient </w:t>
            </w:r>
            <w:r w:rsidR="00EF765C">
              <w:t>une bourse régulière d’un organisme subventionnair</w:t>
            </w:r>
            <w:r w:rsidR="00C02C70">
              <w:t>e</w:t>
            </w:r>
            <w:r w:rsidR="00EF765C">
              <w:t xml:space="preserve"> d’une valeur inférieure à la </w:t>
            </w:r>
            <w:r w:rsidR="00EF765C" w:rsidRPr="00D2624B">
              <w:rPr>
                <w:i/>
                <w:iCs/>
              </w:rPr>
              <w:t>Bourse d’excellence Laurent et Claire B. Beaudoin</w:t>
            </w:r>
            <w:r w:rsidR="00EF765C" w:rsidRPr="00D2624B">
              <w:rPr>
                <w:i/>
                <w:iCs/>
                <w:vertAlign w:val="superscript"/>
              </w:rPr>
              <w:t>*</w:t>
            </w:r>
            <w:r w:rsidR="007D589F">
              <w:t>).</w:t>
            </w:r>
            <w:r w:rsidR="00D9446E">
              <w:t xml:space="preserve"> </w:t>
            </w:r>
            <w:r w:rsidRPr="00B55DFD">
              <w:t>Cette contrepartie peut provenir d’une subvention, d’un financement détenu en commun ou par un regroupement de recherche.</w:t>
            </w:r>
          </w:p>
          <w:p w14:paraId="28C82772" w14:textId="3E15B1C3" w:rsidR="004F618B" w:rsidRPr="00B61B36" w:rsidRDefault="00EF765C" w:rsidP="00252679">
            <w:pPr>
              <w:spacing w:after="120"/>
              <w:ind w:left="29"/>
              <w:rPr>
                <w:sz w:val="20"/>
                <w:szCs w:val="20"/>
              </w:rPr>
            </w:pPr>
            <w:r w:rsidRPr="00D2624B">
              <w:rPr>
                <w:i/>
                <w:iCs/>
                <w:vertAlign w:val="superscript"/>
              </w:rPr>
              <w:t>*</w:t>
            </w:r>
            <w:r w:rsidR="001A5D13" w:rsidRPr="00B61B36">
              <w:rPr>
                <w:sz w:val="20"/>
                <w:szCs w:val="20"/>
              </w:rPr>
              <w:t>Dans ce cas,</w:t>
            </w:r>
            <w:r w:rsidR="009A7AE6" w:rsidRPr="00B61B36">
              <w:rPr>
                <w:sz w:val="20"/>
                <w:szCs w:val="20"/>
              </w:rPr>
              <w:t xml:space="preserve"> </w:t>
            </w:r>
            <w:r w:rsidR="00274E1E" w:rsidRPr="00B61B36">
              <w:rPr>
                <w:sz w:val="20"/>
                <w:szCs w:val="20"/>
              </w:rPr>
              <w:t>aucune</w:t>
            </w:r>
            <w:r w:rsidR="00C02C70" w:rsidRPr="00B61B36">
              <w:rPr>
                <w:sz w:val="20"/>
                <w:szCs w:val="20"/>
              </w:rPr>
              <w:t xml:space="preserve"> contrepartie </w:t>
            </w:r>
            <w:r w:rsidR="00274E1E" w:rsidRPr="00B61B36">
              <w:rPr>
                <w:sz w:val="20"/>
                <w:szCs w:val="20"/>
              </w:rPr>
              <w:t xml:space="preserve">de la valeur de la </w:t>
            </w:r>
            <w:r w:rsidR="00274E1E" w:rsidRPr="00F64698">
              <w:rPr>
                <w:i/>
                <w:iCs/>
                <w:sz w:val="20"/>
                <w:szCs w:val="20"/>
              </w:rPr>
              <w:t xml:space="preserve">Bourse </w:t>
            </w:r>
            <w:r w:rsidR="00293A9C" w:rsidRPr="00F64698">
              <w:rPr>
                <w:i/>
                <w:iCs/>
                <w:sz w:val="20"/>
                <w:szCs w:val="20"/>
              </w:rPr>
              <w:t xml:space="preserve">d’excellence </w:t>
            </w:r>
            <w:r w:rsidR="00274E1E" w:rsidRPr="00F64698">
              <w:rPr>
                <w:i/>
                <w:iCs/>
                <w:sz w:val="20"/>
                <w:szCs w:val="20"/>
              </w:rPr>
              <w:t>Laurent et Claire B. Beaudoin</w:t>
            </w:r>
            <w:r w:rsidR="00274E1E" w:rsidRPr="00B61B36">
              <w:rPr>
                <w:sz w:val="20"/>
                <w:szCs w:val="20"/>
              </w:rPr>
              <w:t xml:space="preserve"> </w:t>
            </w:r>
            <w:r w:rsidR="00C02C70" w:rsidRPr="00B61B36">
              <w:rPr>
                <w:sz w:val="20"/>
                <w:szCs w:val="20"/>
              </w:rPr>
              <w:t xml:space="preserve">ne </w:t>
            </w:r>
            <w:r w:rsidR="00274E1E" w:rsidRPr="00B61B36">
              <w:rPr>
                <w:sz w:val="20"/>
                <w:szCs w:val="20"/>
              </w:rPr>
              <w:t xml:space="preserve">devra être </w:t>
            </w:r>
            <w:r w:rsidR="00C02C70" w:rsidRPr="00B61B36">
              <w:rPr>
                <w:sz w:val="20"/>
                <w:szCs w:val="20"/>
              </w:rPr>
              <w:t xml:space="preserve">versée </w:t>
            </w:r>
            <w:r w:rsidR="00274E1E" w:rsidRPr="00B61B36">
              <w:rPr>
                <w:sz w:val="20"/>
                <w:szCs w:val="20"/>
              </w:rPr>
              <w:t xml:space="preserve">par la direction de recherche </w:t>
            </w:r>
            <w:r w:rsidR="00C02C70" w:rsidRPr="00B61B36">
              <w:rPr>
                <w:sz w:val="20"/>
                <w:szCs w:val="20"/>
              </w:rPr>
              <w:t>pendant la durée de la bourse régulière de l’organisme subventionnaire (CRSH, CRSNG, IRSC, FRQ, …)</w:t>
            </w:r>
            <w:r w:rsidR="001A5D13" w:rsidRPr="00B61B36">
              <w:rPr>
                <w:sz w:val="20"/>
                <w:szCs w:val="20"/>
              </w:rPr>
              <w:t>.</w:t>
            </w:r>
            <w:r w:rsidR="00C53B10">
              <w:rPr>
                <w:sz w:val="20"/>
                <w:szCs w:val="20"/>
              </w:rPr>
              <w:t xml:space="preserve"> Les</w:t>
            </w:r>
            <w:r w:rsidR="00F64698">
              <w:rPr>
                <w:sz w:val="20"/>
                <w:szCs w:val="20"/>
              </w:rPr>
              <w:t xml:space="preserve"> règles détaillées </w:t>
            </w:r>
            <w:r w:rsidR="00C53B10">
              <w:rPr>
                <w:sz w:val="20"/>
                <w:szCs w:val="20"/>
              </w:rPr>
              <w:t>peuvent être consultée</w:t>
            </w:r>
            <w:r w:rsidR="001939B8">
              <w:rPr>
                <w:sz w:val="20"/>
                <w:szCs w:val="20"/>
              </w:rPr>
              <w:t>s</w:t>
            </w:r>
            <w:r w:rsidR="00C53B10">
              <w:rPr>
                <w:sz w:val="20"/>
                <w:szCs w:val="20"/>
              </w:rPr>
              <w:t xml:space="preserve"> dans </w:t>
            </w:r>
            <w:r w:rsidR="00F64698">
              <w:rPr>
                <w:sz w:val="20"/>
                <w:szCs w:val="20"/>
              </w:rPr>
              <w:t>l</w:t>
            </w:r>
            <w:r w:rsidR="000F51EB">
              <w:rPr>
                <w:sz w:val="20"/>
                <w:szCs w:val="20"/>
              </w:rPr>
              <w:t>a</w:t>
            </w:r>
            <w:r w:rsidR="00F64698">
              <w:rPr>
                <w:sz w:val="20"/>
                <w:szCs w:val="20"/>
              </w:rPr>
              <w:t xml:space="preserve"> section </w:t>
            </w:r>
            <w:r w:rsidR="003D0F49">
              <w:rPr>
                <w:sz w:val="20"/>
                <w:szCs w:val="20"/>
              </w:rPr>
              <w:t xml:space="preserve">16 </w:t>
            </w:r>
            <w:r w:rsidR="003D0F49" w:rsidRPr="003D0F49">
              <w:rPr>
                <w:sz w:val="20"/>
                <w:szCs w:val="20"/>
              </w:rPr>
              <w:t xml:space="preserve">du </w:t>
            </w:r>
            <w:hyperlink r:id="rId19" w:history="1">
              <w:r w:rsidR="003D0F49" w:rsidRPr="003D0F49">
                <w:rPr>
                  <w:rStyle w:val="Lienhypertexte"/>
                  <w:sz w:val="20"/>
                  <w:szCs w:val="20"/>
                </w:rPr>
                <w:t>Règlement du Programme de bourses d'excellence aux études supérieures en recherche de l'Université de Sherbrooke</w:t>
              </w:r>
            </w:hyperlink>
            <w:r w:rsidR="00C53B10">
              <w:rPr>
                <w:sz w:val="20"/>
                <w:szCs w:val="20"/>
              </w:rPr>
              <w:t>.</w:t>
            </w:r>
          </w:p>
          <w:p w14:paraId="4C9B12F8" w14:textId="34EEC8F0" w:rsidR="00252679" w:rsidRPr="00D2624B" w:rsidRDefault="00252679" w:rsidP="00252679">
            <w:pPr>
              <w:spacing w:after="120"/>
              <w:ind w:left="29"/>
              <w:rPr>
                <w:i/>
                <w:iCs/>
              </w:rPr>
            </w:pPr>
          </w:p>
        </w:tc>
      </w:tr>
      <w:tr w:rsidR="00CE54A4" w:rsidRPr="00A70F20" w14:paraId="69F3A881" w14:textId="77777777" w:rsidTr="00B61B36">
        <w:trPr>
          <w:trHeight w:val="39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3A500" w14:textId="082FE74F" w:rsidR="00175F38" w:rsidRPr="00B55DFD" w:rsidRDefault="00175F38" w:rsidP="00CE54A4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371CB" w14:textId="58A5C339" w:rsidR="00CE54A4" w:rsidRPr="00B55DFD" w:rsidRDefault="00CE54A4" w:rsidP="00252679">
            <w:pPr>
              <w:spacing w:after="0"/>
              <w:jc w:val="right"/>
            </w:pPr>
            <w:r>
              <w:t>Oui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464D" w14:textId="220E2178" w:rsidR="00CE54A4" w:rsidRPr="00B55DFD" w:rsidRDefault="00CE54A4" w:rsidP="00D2624B">
            <w:pPr>
              <w:spacing w:after="0"/>
              <w:jc w:val="right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2AB60" w14:textId="0F7198EB" w:rsidR="00CE54A4" w:rsidRPr="00B55DFD" w:rsidRDefault="00CE54A4" w:rsidP="00D2624B">
            <w:pPr>
              <w:spacing w:after="0"/>
              <w:jc w:val="right"/>
            </w:pPr>
            <w:r>
              <w:t>Non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882A" w14:textId="77777777" w:rsidR="00CE54A4" w:rsidRPr="00B55DFD" w:rsidRDefault="00CE54A4" w:rsidP="00D2624B">
            <w:pPr>
              <w:spacing w:after="0"/>
              <w:jc w:val="right"/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A588B" w14:textId="04C3C4E7" w:rsidR="00CE54A4" w:rsidRPr="00B55DFD" w:rsidRDefault="00CE54A4" w:rsidP="00D2624B">
            <w:pPr>
              <w:spacing w:after="0"/>
              <w:jc w:val="right"/>
            </w:pPr>
          </w:p>
        </w:tc>
      </w:tr>
      <w:tr w:rsidR="00242A0B" w:rsidRPr="00A70F20" w14:paraId="09318D60" w14:textId="77777777" w:rsidTr="00B61B36">
        <w:trPr>
          <w:trHeight w:val="454"/>
        </w:trPr>
        <w:tc>
          <w:tcPr>
            <w:tcW w:w="10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24A61" w14:textId="77777777" w:rsidR="00252679" w:rsidRDefault="00252679" w:rsidP="00AD09C7">
            <w:pPr>
              <w:spacing w:before="40" w:after="40"/>
              <w:jc w:val="left"/>
              <w:rPr>
                <w:b/>
                <w:bCs/>
              </w:rPr>
            </w:pPr>
          </w:p>
          <w:p w14:paraId="59EA364A" w14:textId="2FF7025C" w:rsidR="00242A0B" w:rsidRPr="00B55DFD" w:rsidRDefault="00096F50" w:rsidP="00AD09C7">
            <w:pPr>
              <w:spacing w:before="40" w:after="40"/>
              <w:jc w:val="left"/>
              <w:rPr>
                <w:b/>
                <w:bCs/>
              </w:rPr>
            </w:pPr>
            <w:r w:rsidRPr="00B55DFD">
              <w:rPr>
                <w:b/>
                <w:bCs/>
              </w:rPr>
              <w:t>D</w:t>
            </w:r>
            <w:r w:rsidR="008B2261" w:rsidRPr="00B55DFD">
              <w:rPr>
                <w:b/>
                <w:bCs/>
              </w:rPr>
              <w:t>IRECTION</w:t>
            </w:r>
          </w:p>
        </w:tc>
      </w:tr>
      <w:tr w:rsidR="00BA4A4C" w:rsidRPr="00A70F20" w14:paraId="3374799E" w14:textId="77777777" w:rsidTr="00B61B36">
        <w:trPr>
          <w:trHeight w:val="454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F7F78A" w14:textId="77777777" w:rsidR="004E6F35" w:rsidRPr="00B55DFD" w:rsidRDefault="004E6F35" w:rsidP="00AD09C7">
            <w:pPr>
              <w:spacing w:before="40" w:after="40"/>
              <w:jc w:val="left"/>
            </w:pPr>
            <w:r w:rsidRPr="00B55DFD">
              <w:t>Prénom 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06E21" w14:textId="77777777" w:rsidR="004E6F35" w:rsidRPr="00B55DFD" w:rsidRDefault="004E6F35" w:rsidP="00AD09C7">
            <w:pPr>
              <w:spacing w:before="40" w:after="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EDD1B7" w14:textId="77777777" w:rsidR="004E6F35" w:rsidRPr="00B55DFD" w:rsidRDefault="004E6F35" w:rsidP="00AD09C7">
            <w:pPr>
              <w:spacing w:before="40" w:after="40"/>
              <w:jc w:val="left"/>
            </w:pPr>
            <w:r w:rsidRPr="00B55DFD">
              <w:t>Nom :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31859" w14:textId="77777777" w:rsidR="004E6F35" w:rsidRPr="00B55DFD" w:rsidRDefault="004E6F35" w:rsidP="00AD09C7">
            <w:pPr>
              <w:spacing w:before="40" w:after="40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19D106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7FAC710F" w14:textId="77777777" w:rsidTr="00B61B36">
        <w:trPr>
          <w:trHeight w:val="454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A8336" w14:textId="77777777" w:rsidR="008B7E82" w:rsidRPr="00B55DFD" w:rsidRDefault="008B7E82" w:rsidP="00AD09C7">
            <w:pPr>
              <w:spacing w:before="40" w:after="40"/>
              <w:jc w:val="left"/>
            </w:pPr>
            <w:r w:rsidRPr="00B55DFD">
              <w:t>Signature 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86CD0" w14:textId="77777777" w:rsidR="008B7E82" w:rsidRPr="00B55DFD" w:rsidRDefault="008B7E82" w:rsidP="00AD09C7">
            <w:pPr>
              <w:spacing w:before="40" w:after="4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11E7" w14:textId="77777777" w:rsidR="008B7E82" w:rsidRPr="00B55DFD" w:rsidRDefault="008B7E82" w:rsidP="00AD09C7">
            <w:pPr>
              <w:spacing w:before="40" w:after="40"/>
              <w:jc w:val="left"/>
            </w:pPr>
            <w:r w:rsidRPr="00B55DFD">
              <w:t>Date :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27016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1" w:name="Texte12"/>
          </w:p>
        </w:tc>
        <w:bookmarkEnd w:id="1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EA6B67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0052B312" w14:textId="62274015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096F50" w:rsidRPr="00A70F20" w14:paraId="03906A75" w14:textId="77777777" w:rsidTr="00B61B36">
        <w:trPr>
          <w:trHeight w:val="454"/>
        </w:trPr>
        <w:tc>
          <w:tcPr>
            <w:tcW w:w="10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A27C" w14:textId="1159AB33" w:rsidR="00096F50" w:rsidRPr="00B55DFD" w:rsidRDefault="008B2261" w:rsidP="00AD09C7">
            <w:pPr>
              <w:spacing w:before="40" w:after="40"/>
              <w:jc w:val="left"/>
              <w:rPr>
                <w:b/>
                <w:bCs/>
              </w:rPr>
            </w:pPr>
            <w:r w:rsidRPr="00B55DFD">
              <w:rPr>
                <w:b/>
                <w:bCs/>
              </w:rPr>
              <w:t>CODIRECTION</w:t>
            </w:r>
            <w:r w:rsidR="00F64698">
              <w:rPr>
                <w:b/>
                <w:bCs/>
              </w:rPr>
              <w:t xml:space="preserve"> (s’il y a lieu)</w:t>
            </w:r>
          </w:p>
        </w:tc>
      </w:tr>
      <w:tr w:rsidR="00252679" w:rsidRPr="00A70F20" w14:paraId="620F59E8" w14:textId="77777777" w:rsidTr="00B61B36">
        <w:trPr>
          <w:trHeight w:val="454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1E5561" w14:textId="77777777" w:rsidR="00252679" w:rsidRPr="00B55DFD" w:rsidRDefault="00252679" w:rsidP="009A43C1">
            <w:pPr>
              <w:spacing w:before="40" w:after="40"/>
              <w:jc w:val="left"/>
            </w:pPr>
            <w:r w:rsidRPr="00B55DFD">
              <w:t>Prénom 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E4893" w14:textId="77777777" w:rsidR="00252679" w:rsidRPr="00B55DFD" w:rsidRDefault="00252679" w:rsidP="009A43C1">
            <w:pPr>
              <w:spacing w:before="40" w:after="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F2FD2E" w14:textId="77777777" w:rsidR="00252679" w:rsidRPr="00B55DFD" w:rsidRDefault="00252679" w:rsidP="009A43C1">
            <w:pPr>
              <w:spacing w:before="40" w:after="40"/>
              <w:jc w:val="left"/>
            </w:pPr>
            <w:r w:rsidRPr="00B55DFD">
              <w:t>Nom :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79604" w14:textId="77777777" w:rsidR="00252679" w:rsidRPr="00B55DFD" w:rsidRDefault="00252679" w:rsidP="009A43C1">
            <w:pPr>
              <w:spacing w:before="40" w:after="40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72FC28" w14:textId="77777777" w:rsidR="00252679" w:rsidRPr="00A70F20" w:rsidRDefault="00252679" w:rsidP="009A43C1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2040692B" w14:textId="77777777" w:rsidR="00252679" w:rsidRPr="00A70F20" w:rsidRDefault="00252679" w:rsidP="009A43C1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52679" w:rsidRPr="00A70F20" w14:paraId="470DF1B6" w14:textId="77777777" w:rsidTr="00B61B36">
        <w:trPr>
          <w:trHeight w:val="454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F8F778" w14:textId="77777777" w:rsidR="00252679" w:rsidRPr="00B55DFD" w:rsidRDefault="00252679" w:rsidP="009A43C1">
            <w:pPr>
              <w:spacing w:before="40" w:after="40"/>
              <w:jc w:val="left"/>
            </w:pPr>
            <w:r w:rsidRPr="00B55DFD">
              <w:t>Signature 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3A766F" w14:textId="77777777" w:rsidR="00252679" w:rsidRPr="00B55DFD" w:rsidRDefault="00252679" w:rsidP="009A43C1">
            <w:pPr>
              <w:spacing w:before="40" w:after="4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E50E0" w14:textId="77777777" w:rsidR="00252679" w:rsidRPr="00B55DFD" w:rsidRDefault="00252679" w:rsidP="009A43C1">
            <w:pPr>
              <w:spacing w:before="40" w:after="40"/>
              <w:jc w:val="left"/>
            </w:pPr>
            <w:r w:rsidRPr="00B55DFD">
              <w:t>Date :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D175F7" w14:textId="77777777" w:rsidR="00252679" w:rsidRPr="00A70F20" w:rsidRDefault="00252679" w:rsidP="009A43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A787B5" w14:textId="77777777" w:rsidR="00252679" w:rsidRPr="00A70F20" w:rsidRDefault="00252679" w:rsidP="009A43C1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0B034AD5" w14:textId="77777777" w:rsidTr="00B61B36">
        <w:trPr>
          <w:trHeight w:val="454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434ECC" w14:textId="77777777" w:rsidR="004E6F35" w:rsidRPr="00B55DFD" w:rsidRDefault="004E6F35" w:rsidP="00AD09C7">
            <w:pPr>
              <w:spacing w:before="40" w:after="40"/>
              <w:jc w:val="left"/>
            </w:pPr>
            <w:r w:rsidRPr="00B55DFD">
              <w:t>Prénom 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2C3E5" w14:textId="77777777" w:rsidR="004E6F35" w:rsidRPr="00B55DFD" w:rsidRDefault="004E6F35" w:rsidP="00AD09C7">
            <w:pPr>
              <w:spacing w:before="40" w:after="4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1597" w14:textId="77777777" w:rsidR="004E6F35" w:rsidRPr="00B55DFD" w:rsidRDefault="004E6F35" w:rsidP="00AD09C7">
            <w:pPr>
              <w:spacing w:before="40" w:after="40"/>
              <w:jc w:val="left"/>
            </w:pPr>
            <w:r w:rsidRPr="00B55DFD">
              <w:t>Nom :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2FCD2" w14:textId="77777777" w:rsidR="004E6F35" w:rsidRPr="00B55DFD" w:rsidRDefault="004E6F35" w:rsidP="00AD09C7">
            <w:pPr>
              <w:spacing w:before="40" w:after="40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79833C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50BA029E" w14:textId="3DDB4F2F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6F370AF8" w14:textId="77777777" w:rsidTr="00B61B36">
        <w:trPr>
          <w:trHeight w:val="454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5A8248" w14:textId="77777777" w:rsidR="008B7E82" w:rsidRPr="00B55DFD" w:rsidRDefault="008B7E82" w:rsidP="00AD09C7">
            <w:pPr>
              <w:spacing w:before="40" w:after="40"/>
              <w:jc w:val="left"/>
            </w:pPr>
            <w:r w:rsidRPr="00B55DFD">
              <w:t>Signature 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4C0C5" w14:textId="77777777" w:rsidR="008B7E82" w:rsidRPr="00B55DFD" w:rsidRDefault="008B7E82" w:rsidP="00AD09C7">
            <w:pPr>
              <w:spacing w:before="40" w:after="4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43BE" w14:textId="77777777" w:rsidR="008B7E82" w:rsidRPr="00B55DFD" w:rsidRDefault="008B7E82" w:rsidP="00AD09C7">
            <w:pPr>
              <w:spacing w:before="40" w:after="40"/>
              <w:jc w:val="left"/>
            </w:pPr>
            <w:r w:rsidRPr="00B55DFD">
              <w:t>Date :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7CBBB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2" w:name="Texte13"/>
          </w:p>
        </w:tc>
        <w:bookmarkEnd w:id="2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DF9A80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A19DA" w:rsidRPr="00C405C4" w14:paraId="0B618C57" w14:textId="77777777" w:rsidTr="00B61B36">
        <w:trPr>
          <w:trHeight w:val="113"/>
        </w:trPr>
        <w:tc>
          <w:tcPr>
            <w:tcW w:w="10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DD89" w14:textId="77777777" w:rsidR="002A19DA" w:rsidRPr="002A19DA" w:rsidRDefault="002A19DA" w:rsidP="002A19DA">
            <w:pPr>
              <w:spacing w:before="40" w:after="40"/>
              <w:jc w:val="left"/>
              <w:rPr>
                <w:sz w:val="4"/>
                <w:szCs w:val="4"/>
              </w:rPr>
            </w:pPr>
          </w:p>
        </w:tc>
      </w:tr>
    </w:tbl>
    <w:p w14:paraId="66468788" w14:textId="77777777" w:rsidR="008B7E82" w:rsidRPr="00C405C4" w:rsidRDefault="008B7E82" w:rsidP="004D33B2">
      <w:pPr>
        <w:spacing w:after="0"/>
        <w:contextualSpacing/>
        <w:jc w:val="left"/>
        <w:rPr>
          <w:sz w:val="20"/>
          <w:szCs w:val="20"/>
        </w:rPr>
      </w:pPr>
    </w:p>
    <w:sectPr w:rsidR="008B7E82" w:rsidRPr="00C405C4" w:rsidSect="00421AB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866" w:right="1077" w:bottom="704" w:left="1077" w:header="113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FD3E" w14:textId="77777777" w:rsidR="00421ABB" w:rsidRDefault="00421ABB">
      <w:pPr>
        <w:spacing w:after="0"/>
      </w:pPr>
      <w:r>
        <w:separator/>
      </w:r>
    </w:p>
  </w:endnote>
  <w:endnote w:type="continuationSeparator" w:id="0">
    <w:p w14:paraId="6E05A817" w14:textId="77777777" w:rsidR="00421ABB" w:rsidRDefault="00421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A550" w14:textId="77777777" w:rsidR="00BD451A" w:rsidRDefault="00BD45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F02" w14:textId="660794DE" w:rsidR="00BB5FC8" w:rsidRPr="000005D0" w:rsidRDefault="000005D0">
    <w:pPr>
      <w:pStyle w:val="Pieddepage"/>
      <w:rPr>
        <w:sz w:val="16"/>
        <w:szCs w:val="16"/>
      </w:rPr>
    </w:pPr>
    <w:r w:rsidRPr="000005D0">
      <w:rPr>
        <w:sz w:val="16"/>
        <w:szCs w:val="16"/>
      </w:rPr>
      <w:t xml:space="preserve">Vice-rectorat à la recherche et aux études supérieures </w:t>
    </w:r>
    <w:r w:rsidR="001144DE">
      <w:rPr>
        <w:sz w:val="16"/>
        <w:szCs w:val="16"/>
      </w:rPr>
      <w:t>(</w:t>
    </w:r>
    <w:r w:rsidR="00002007">
      <w:rPr>
        <w:sz w:val="16"/>
        <w:szCs w:val="16"/>
      </w:rPr>
      <w:t>janvier 2024</w:t>
    </w:r>
    <w:r w:rsidRPr="000005D0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7792" w14:textId="77777777" w:rsidR="00BD451A" w:rsidRDefault="00BD45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7480" w14:textId="77777777" w:rsidR="00421ABB" w:rsidRDefault="00421ABB">
      <w:pPr>
        <w:spacing w:after="0"/>
      </w:pPr>
      <w:r>
        <w:separator/>
      </w:r>
    </w:p>
  </w:footnote>
  <w:footnote w:type="continuationSeparator" w:id="0">
    <w:p w14:paraId="3202E29A" w14:textId="77777777" w:rsidR="00421ABB" w:rsidRDefault="00421A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E23" w14:textId="77777777" w:rsidR="00BD451A" w:rsidRDefault="00BD45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A115" w14:textId="4276D0D3" w:rsidR="0015461A" w:rsidRDefault="00BD451A" w:rsidP="00BD451A">
    <w:pPr>
      <w:pStyle w:val="En-tte"/>
      <w:ind w:left="3540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</w:t>
    </w:r>
    <w:r w:rsidR="000005D0" w:rsidRPr="00495FC4">
      <w:rPr>
        <w:b/>
        <w:bCs/>
        <w:sz w:val="20"/>
        <w:szCs w:val="20"/>
      </w:rPr>
      <w:t xml:space="preserve">Programme de bourses </w:t>
    </w:r>
    <w:r>
      <w:rPr>
        <w:b/>
        <w:bCs/>
        <w:sz w:val="20"/>
        <w:szCs w:val="20"/>
      </w:rPr>
      <w:t>d’</w:t>
    </w:r>
    <w:r w:rsidR="000005D0" w:rsidRPr="00495FC4">
      <w:rPr>
        <w:b/>
        <w:bCs/>
        <w:sz w:val="20"/>
        <w:szCs w:val="20"/>
      </w:rPr>
      <w:t xml:space="preserve">excellence </w:t>
    </w:r>
    <w:r w:rsidR="0015461A">
      <w:rPr>
        <w:b/>
        <w:bCs/>
        <w:sz w:val="20"/>
        <w:szCs w:val="20"/>
      </w:rPr>
      <w:t>aux études supérieures</w:t>
    </w:r>
    <w:r>
      <w:rPr>
        <w:b/>
        <w:bCs/>
        <w:sz w:val="20"/>
        <w:szCs w:val="20"/>
      </w:rPr>
      <w:t xml:space="preserve"> de l’Université de Sherbrooke</w:t>
    </w:r>
  </w:p>
  <w:p w14:paraId="7E33B559" w14:textId="77777777" w:rsidR="00B55DFD" w:rsidRDefault="00B55DFD" w:rsidP="00761CC0">
    <w:pPr>
      <w:pStyle w:val="En-tte"/>
      <w:jc w:val="righ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7F9E" w14:textId="77777777" w:rsidR="00BD451A" w:rsidRDefault="00BD45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F30"/>
    <w:multiLevelType w:val="hybridMultilevel"/>
    <w:tmpl w:val="23D8922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B85BA9"/>
    <w:multiLevelType w:val="hybridMultilevel"/>
    <w:tmpl w:val="44D2A0B6"/>
    <w:lvl w:ilvl="0" w:tplc="0C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4650"/>
    <w:multiLevelType w:val="hybridMultilevel"/>
    <w:tmpl w:val="C15EAF6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478"/>
    <w:multiLevelType w:val="hybridMultilevel"/>
    <w:tmpl w:val="733C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173176">
    <w:abstractNumId w:val="4"/>
  </w:num>
  <w:num w:numId="2" w16cid:durableId="1293094483">
    <w:abstractNumId w:val="1"/>
  </w:num>
  <w:num w:numId="3" w16cid:durableId="563876025">
    <w:abstractNumId w:val="3"/>
  </w:num>
  <w:num w:numId="4" w16cid:durableId="1443302080">
    <w:abstractNumId w:val="2"/>
  </w:num>
  <w:num w:numId="5" w16cid:durableId="571506036">
    <w:abstractNumId w:val="5"/>
  </w:num>
  <w:num w:numId="6" w16cid:durableId="711228971">
    <w:abstractNumId w:val="6"/>
  </w:num>
  <w:num w:numId="7" w16cid:durableId="74884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82"/>
    <w:rsid w:val="000005D0"/>
    <w:rsid w:val="00002007"/>
    <w:rsid w:val="00033F8A"/>
    <w:rsid w:val="000814B8"/>
    <w:rsid w:val="000844FA"/>
    <w:rsid w:val="00086785"/>
    <w:rsid w:val="00096F50"/>
    <w:rsid w:val="000A6960"/>
    <w:rsid w:val="000A6C1C"/>
    <w:rsid w:val="000D12B2"/>
    <w:rsid w:val="000D6DC8"/>
    <w:rsid w:val="000F51EB"/>
    <w:rsid w:val="00104CD1"/>
    <w:rsid w:val="0010681D"/>
    <w:rsid w:val="00110595"/>
    <w:rsid w:val="001144DE"/>
    <w:rsid w:val="0012633B"/>
    <w:rsid w:val="001355C5"/>
    <w:rsid w:val="0015461A"/>
    <w:rsid w:val="00175F38"/>
    <w:rsid w:val="001849DC"/>
    <w:rsid w:val="001939B8"/>
    <w:rsid w:val="001A42E2"/>
    <w:rsid w:val="001A5D13"/>
    <w:rsid w:val="001C085C"/>
    <w:rsid w:val="001F191B"/>
    <w:rsid w:val="001F675C"/>
    <w:rsid w:val="00200BFD"/>
    <w:rsid w:val="00226776"/>
    <w:rsid w:val="0023405A"/>
    <w:rsid w:val="00234F23"/>
    <w:rsid w:val="002405B0"/>
    <w:rsid w:val="00242A0B"/>
    <w:rsid w:val="00252679"/>
    <w:rsid w:val="002544BC"/>
    <w:rsid w:val="00274E1E"/>
    <w:rsid w:val="00282EE1"/>
    <w:rsid w:val="002908CD"/>
    <w:rsid w:val="00293A9C"/>
    <w:rsid w:val="002A19DA"/>
    <w:rsid w:val="002B10FE"/>
    <w:rsid w:val="0034540E"/>
    <w:rsid w:val="003478AD"/>
    <w:rsid w:val="00364996"/>
    <w:rsid w:val="00371815"/>
    <w:rsid w:val="00382915"/>
    <w:rsid w:val="003A6BA3"/>
    <w:rsid w:val="003D0F49"/>
    <w:rsid w:val="003D0F63"/>
    <w:rsid w:val="003E6A95"/>
    <w:rsid w:val="003F51B3"/>
    <w:rsid w:val="004119B4"/>
    <w:rsid w:val="004208E6"/>
    <w:rsid w:val="00420959"/>
    <w:rsid w:val="00421259"/>
    <w:rsid w:val="00421ABB"/>
    <w:rsid w:val="00434E7E"/>
    <w:rsid w:val="00441468"/>
    <w:rsid w:val="00446E5B"/>
    <w:rsid w:val="0046612A"/>
    <w:rsid w:val="00477B8B"/>
    <w:rsid w:val="00482611"/>
    <w:rsid w:val="00495FC4"/>
    <w:rsid w:val="004962A8"/>
    <w:rsid w:val="004B05A8"/>
    <w:rsid w:val="004B0B62"/>
    <w:rsid w:val="004B47E0"/>
    <w:rsid w:val="004C4360"/>
    <w:rsid w:val="004D33B2"/>
    <w:rsid w:val="004E4BE4"/>
    <w:rsid w:val="004E6F35"/>
    <w:rsid w:val="004F3180"/>
    <w:rsid w:val="004F618B"/>
    <w:rsid w:val="005053B5"/>
    <w:rsid w:val="0050610B"/>
    <w:rsid w:val="00514059"/>
    <w:rsid w:val="00535D93"/>
    <w:rsid w:val="0053737D"/>
    <w:rsid w:val="0057796A"/>
    <w:rsid w:val="0058533D"/>
    <w:rsid w:val="005909D1"/>
    <w:rsid w:val="005A3791"/>
    <w:rsid w:val="005D5893"/>
    <w:rsid w:val="005F3BF0"/>
    <w:rsid w:val="005F5281"/>
    <w:rsid w:val="00612022"/>
    <w:rsid w:val="006163E4"/>
    <w:rsid w:val="006167F0"/>
    <w:rsid w:val="00620B34"/>
    <w:rsid w:val="00630884"/>
    <w:rsid w:val="00645DB5"/>
    <w:rsid w:val="00646118"/>
    <w:rsid w:val="00667855"/>
    <w:rsid w:val="00685702"/>
    <w:rsid w:val="00687C86"/>
    <w:rsid w:val="006A4D6A"/>
    <w:rsid w:val="006E7865"/>
    <w:rsid w:val="00707229"/>
    <w:rsid w:val="00712609"/>
    <w:rsid w:val="007169A0"/>
    <w:rsid w:val="00721803"/>
    <w:rsid w:val="00742785"/>
    <w:rsid w:val="00746262"/>
    <w:rsid w:val="007577EE"/>
    <w:rsid w:val="00761CC0"/>
    <w:rsid w:val="00771CA8"/>
    <w:rsid w:val="00785FC1"/>
    <w:rsid w:val="007B30E6"/>
    <w:rsid w:val="007C57D0"/>
    <w:rsid w:val="007C7FAF"/>
    <w:rsid w:val="007D589F"/>
    <w:rsid w:val="007E294D"/>
    <w:rsid w:val="007E2AB0"/>
    <w:rsid w:val="0080178B"/>
    <w:rsid w:val="0081367A"/>
    <w:rsid w:val="008246C4"/>
    <w:rsid w:val="0083014F"/>
    <w:rsid w:val="00853B70"/>
    <w:rsid w:val="00857C9D"/>
    <w:rsid w:val="008750B5"/>
    <w:rsid w:val="0087777D"/>
    <w:rsid w:val="008A1AD3"/>
    <w:rsid w:val="008B21EE"/>
    <w:rsid w:val="008B2261"/>
    <w:rsid w:val="008B2FD4"/>
    <w:rsid w:val="008B7E82"/>
    <w:rsid w:val="008D3D77"/>
    <w:rsid w:val="00910A6D"/>
    <w:rsid w:val="0092479B"/>
    <w:rsid w:val="00956D47"/>
    <w:rsid w:val="00981A01"/>
    <w:rsid w:val="009A7AE6"/>
    <w:rsid w:val="009B1A25"/>
    <w:rsid w:val="009D21BB"/>
    <w:rsid w:val="009F36B3"/>
    <w:rsid w:val="009F4648"/>
    <w:rsid w:val="00A22BB9"/>
    <w:rsid w:val="00A475E1"/>
    <w:rsid w:val="00A4789E"/>
    <w:rsid w:val="00A47ACF"/>
    <w:rsid w:val="00A70F20"/>
    <w:rsid w:val="00A77868"/>
    <w:rsid w:val="00A810B7"/>
    <w:rsid w:val="00A868DF"/>
    <w:rsid w:val="00A86A69"/>
    <w:rsid w:val="00A9229B"/>
    <w:rsid w:val="00A97EA6"/>
    <w:rsid w:val="00AA6D76"/>
    <w:rsid w:val="00AC1163"/>
    <w:rsid w:val="00AC19EE"/>
    <w:rsid w:val="00AC3A42"/>
    <w:rsid w:val="00AD09C7"/>
    <w:rsid w:val="00AE4BBF"/>
    <w:rsid w:val="00B24A8F"/>
    <w:rsid w:val="00B3651D"/>
    <w:rsid w:val="00B55DFD"/>
    <w:rsid w:val="00B61B36"/>
    <w:rsid w:val="00B762D7"/>
    <w:rsid w:val="00B7721E"/>
    <w:rsid w:val="00B92556"/>
    <w:rsid w:val="00B947D8"/>
    <w:rsid w:val="00B94C4B"/>
    <w:rsid w:val="00BA4A4C"/>
    <w:rsid w:val="00BA742A"/>
    <w:rsid w:val="00BB5FC8"/>
    <w:rsid w:val="00BC5459"/>
    <w:rsid w:val="00BD451A"/>
    <w:rsid w:val="00C02C70"/>
    <w:rsid w:val="00C05278"/>
    <w:rsid w:val="00C405C4"/>
    <w:rsid w:val="00C45AEB"/>
    <w:rsid w:val="00C53B10"/>
    <w:rsid w:val="00C83828"/>
    <w:rsid w:val="00C92561"/>
    <w:rsid w:val="00CC278F"/>
    <w:rsid w:val="00CD0041"/>
    <w:rsid w:val="00CD4528"/>
    <w:rsid w:val="00CD7190"/>
    <w:rsid w:val="00CE26CA"/>
    <w:rsid w:val="00CE54A4"/>
    <w:rsid w:val="00CF194B"/>
    <w:rsid w:val="00D14FEA"/>
    <w:rsid w:val="00D16EA6"/>
    <w:rsid w:val="00D2337B"/>
    <w:rsid w:val="00D2624B"/>
    <w:rsid w:val="00D363CF"/>
    <w:rsid w:val="00D509ED"/>
    <w:rsid w:val="00D75948"/>
    <w:rsid w:val="00D80345"/>
    <w:rsid w:val="00D9446E"/>
    <w:rsid w:val="00DD76FC"/>
    <w:rsid w:val="00DE11AA"/>
    <w:rsid w:val="00DE62C0"/>
    <w:rsid w:val="00DF4192"/>
    <w:rsid w:val="00E05DBA"/>
    <w:rsid w:val="00E179EA"/>
    <w:rsid w:val="00E70595"/>
    <w:rsid w:val="00EA3A96"/>
    <w:rsid w:val="00EB0DD6"/>
    <w:rsid w:val="00EB4976"/>
    <w:rsid w:val="00EF482B"/>
    <w:rsid w:val="00EF765C"/>
    <w:rsid w:val="00F1154A"/>
    <w:rsid w:val="00F148FD"/>
    <w:rsid w:val="00F27F39"/>
    <w:rsid w:val="00F43C05"/>
    <w:rsid w:val="00F519E8"/>
    <w:rsid w:val="00F64698"/>
    <w:rsid w:val="00F86743"/>
    <w:rsid w:val="00FB5941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422"/>
  <w14:defaultImageDpi w14:val="32767"/>
  <w15:docId w15:val="{B404AD56-6A70-3648-BCFB-1BB12C0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82"/>
    <w:pPr>
      <w:spacing w:after="200"/>
      <w:jc w:val="both"/>
    </w:pPr>
    <w:rPr>
      <w:rFonts w:ascii="Arial" w:hAnsi="Arial" w:cs="Arial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E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7E8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7E82"/>
    <w:rPr>
      <w:rFonts w:ascii="Arial" w:hAnsi="Arial" w:cs="Arial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8B7E82"/>
    <w:rPr>
      <w:rFonts w:ascii="Century Gothic" w:hAnsi="Century Gothic"/>
      <w:sz w:val="19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1CC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61CC0"/>
    <w:rPr>
      <w:rFonts w:ascii="Arial" w:hAnsi="Arial" w:cs="Arial"/>
      <w:sz w:val="22"/>
      <w:szCs w:val="22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7777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777D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7777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77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777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68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4D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053B5"/>
    <w:rPr>
      <w:rFonts w:ascii="Arial" w:hAnsi="Arial" w:cs="Arial"/>
      <w:sz w:val="22"/>
      <w:szCs w:val="22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661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61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612A"/>
    <w:rPr>
      <w:rFonts w:ascii="Arial" w:hAnsi="Arial" w:cs="Arial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1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12A"/>
    <w:rPr>
      <w:rFonts w:ascii="Arial" w:hAnsi="Arial" w:cs="Arial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urses.cycles.sup@usherbrooke.ca" TargetMode="External"/><Relationship Id="rId18" Type="http://schemas.openxmlformats.org/officeDocument/2006/relationships/hyperlink" Target="https://www.usherbrooke.ca/recherche/fileadmin/sites/recherche/documents/bourses/excellence/bourses_excel_regl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usherbrooke.ca/recherche/fileadmin/sites/recherche/documents/bourses/excellence/bourses_excel_regl.pdf" TargetMode="External"/><Relationship Id="rId17" Type="http://schemas.openxmlformats.org/officeDocument/2006/relationships/hyperlink" Target="https://www.usherbrooke.ca/recherche/fileadmin/sites/recherche/documents/bourses/excellence/bourses_excel_regl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ourses.cycles.sup@usherbrooke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rses.cycles.sup@usherbrooke.c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usherbrooke.ca/recherche/fileadmin/sites/recherche/documents/bourses/excellence/bourses_excel_rapp_avanc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anier.gc.ca/fr/nomination_process-processus_de_mise_en_candidature_overview.html" TargetMode="External"/><Relationship Id="rId19" Type="http://schemas.openxmlformats.org/officeDocument/2006/relationships/hyperlink" Target="https://www.usherbrooke.ca/recherche/fileadmin/sites/recherche/documents/bourses/excellence/bourses_excel_reg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herbrooke.ca/recherche/fr/etudier/pourquoi-choisir-udes/programmes-bourses/excellence" TargetMode="External"/><Relationship Id="rId14" Type="http://schemas.openxmlformats.org/officeDocument/2006/relationships/hyperlink" Target="https://www.usherbrooke.ca/recherche/udes/themes-federateur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EE641-F4D0-2948-8438-0EB29E2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Tania May Fayad</cp:lastModifiedBy>
  <cp:revision>49</cp:revision>
  <cp:lastPrinted>2024-01-12T20:21:00Z</cp:lastPrinted>
  <dcterms:created xsi:type="dcterms:W3CDTF">2024-01-05T19:19:00Z</dcterms:created>
  <dcterms:modified xsi:type="dcterms:W3CDTF">2024-01-30T23:09:00Z</dcterms:modified>
</cp:coreProperties>
</file>