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E295" w14:textId="77777777" w:rsidR="006179CF" w:rsidRDefault="001B7EFD" w:rsidP="00736E4D">
      <w:pPr>
        <w:spacing w:after="0"/>
        <w:jc w:val="center"/>
        <w:rPr>
          <w:b/>
          <w:caps/>
          <w:sz w:val="24"/>
        </w:rPr>
      </w:pPr>
      <w:bookmarkStart w:id="0" w:name="_GoBack"/>
      <w:bookmarkEnd w:id="0"/>
      <w:r>
        <w:rPr>
          <w:noProof/>
          <w:lang w:eastAsia="fr-CA"/>
        </w:rPr>
        <w:drawing>
          <wp:anchor distT="0" distB="0" distL="114300" distR="114300" simplePos="0" relativeHeight="251658240" behindDoc="1" locked="0" layoutInCell="1" allowOverlap="1" wp14:anchorId="0D2A219D" wp14:editId="0C3B3534">
            <wp:simplePos x="0" y="0"/>
            <wp:positionH relativeFrom="column">
              <wp:posOffset>-38707</wp:posOffset>
            </wp:positionH>
            <wp:positionV relativeFrom="paragraph">
              <wp:posOffset>7951</wp:posOffset>
            </wp:positionV>
            <wp:extent cx="1671320" cy="450215"/>
            <wp:effectExtent l="0" t="0" r="5080" b="6985"/>
            <wp:wrapTight wrapText="bothSides">
              <wp:wrapPolygon edited="0">
                <wp:start x="0" y="0"/>
                <wp:lineTo x="0" y="21021"/>
                <wp:lineTo x="21419" y="21021"/>
                <wp:lineTo x="21419" y="0"/>
                <wp:lineTo x="0"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32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B55562" w14:textId="77777777" w:rsidR="009858FC" w:rsidRPr="00736E4D" w:rsidRDefault="001B7EFD" w:rsidP="00DC6D41">
      <w:pPr>
        <w:tabs>
          <w:tab w:val="left" w:pos="1698"/>
          <w:tab w:val="center" w:pos="4532"/>
        </w:tabs>
        <w:spacing w:after="0"/>
        <w:jc w:val="right"/>
        <w:rPr>
          <w:b/>
          <w:sz w:val="24"/>
        </w:rPr>
      </w:pPr>
      <w:r>
        <w:rPr>
          <w:b/>
          <w:caps/>
          <w:sz w:val="24"/>
        </w:rPr>
        <w:tab/>
      </w:r>
      <w:r>
        <w:rPr>
          <w:b/>
          <w:caps/>
          <w:sz w:val="24"/>
        </w:rPr>
        <w:tab/>
      </w:r>
      <w:r w:rsidR="00736E4D" w:rsidRPr="00736E4D">
        <w:rPr>
          <w:b/>
          <w:caps/>
          <w:sz w:val="24"/>
        </w:rPr>
        <w:t>Conventions de cotutelle</w:t>
      </w:r>
      <w:r w:rsidR="00736E4D" w:rsidRPr="00736E4D">
        <w:rPr>
          <w:b/>
          <w:sz w:val="24"/>
        </w:rPr>
        <w:t xml:space="preserve"> et </w:t>
      </w:r>
      <w:r w:rsidR="00736E4D" w:rsidRPr="00736E4D">
        <w:rPr>
          <w:b/>
          <w:caps/>
          <w:sz w:val="24"/>
        </w:rPr>
        <w:t>Avenants</w:t>
      </w:r>
    </w:p>
    <w:p w14:paraId="69994F9D" w14:textId="7A143411" w:rsidR="00736E4D" w:rsidRDefault="00582235" w:rsidP="00DC6D41">
      <w:pPr>
        <w:spacing w:after="0"/>
        <w:jc w:val="right"/>
      </w:pPr>
      <w:r>
        <w:t>Procédure et informations</w:t>
      </w:r>
      <w:r w:rsidR="00302284">
        <w:t xml:space="preserve"> administratives</w:t>
      </w:r>
    </w:p>
    <w:tbl>
      <w:tblPr>
        <w:tblStyle w:val="Grilledutableau"/>
        <w:tblW w:w="0" w:type="auto"/>
        <w:shd w:val="clear" w:color="auto" w:fill="DBE5F1" w:themeFill="accent1" w:themeFillTint="33"/>
        <w:tblLook w:val="04A0" w:firstRow="1" w:lastRow="0" w:firstColumn="1" w:lastColumn="0" w:noHBand="0" w:noVBand="1"/>
      </w:tblPr>
      <w:tblGrid>
        <w:gridCol w:w="9493"/>
      </w:tblGrid>
      <w:tr w:rsidR="007F780D" w14:paraId="5141F978" w14:textId="77777777" w:rsidTr="00DC6D41">
        <w:tc>
          <w:tcPr>
            <w:tcW w:w="9493" w:type="dxa"/>
            <w:shd w:val="clear" w:color="auto" w:fill="DBE5F1" w:themeFill="accent1" w:themeFillTint="33"/>
          </w:tcPr>
          <w:p w14:paraId="5745E5F0" w14:textId="77777777" w:rsidR="003F0C6C" w:rsidRDefault="007F780D" w:rsidP="003F0C6C">
            <w:pPr>
              <w:jc w:val="both"/>
              <w:rPr>
                <w:sz w:val="20"/>
              </w:rPr>
            </w:pPr>
            <w:r w:rsidRPr="00A87A63">
              <w:rPr>
                <w:b/>
                <w:color w:val="C00000"/>
                <w:sz w:val="20"/>
              </w:rPr>
              <w:t>Note</w:t>
            </w:r>
            <w:r w:rsidRPr="00A87A63">
              <w:rPr>
                <w:color w:val="C00000"/>
                <w:sz w:val="20"/>
              </w:rPr>
              <w:t> </w:t>
            </w:r>
            <w:r w:rsidRPr="00A87A63">
              <w:rPr>
                <w:sz w:val="20"/>
              </w:rPr>
              <w:t xml:space="preserve">: Communiquer avec </w:t>
            </w:r>
            <w:proofErr w:type="spellStart"/>
            <w:r w:rsidR="003F0C6C" w:rsidRPr="003F0C6C">
              <w:rPr>
                <w:i/>
                <w:sz w:val="20"/>
              </w:rPr>
              <w:t>USherbrooke</w:t>
            </w:r>
            <w:proofErr w:type="spellEnd"/>
            <w:r w:rsidR="003F0C6C" w:rsidRPr="003F0C6C">
              <w:rPr>
                <w:i/>
                <w:sz w:val="20"/>
              </w:rPr>
              <w:t xml:space="preserve"> International</w:t>
            </w:r>
            <w:r w:rsidR="003F0C6C">
              <w:rPr>
                <w:sz w:val="20"/>
              </w:rPr>
              <w:t xml:space="preserve"> </w:t>
            </w:r>
            <w:r w:rsidRPr="00A87A63">
              <w:rPr>
                <w:sz w:val="20"/>
              </w:rPr>
              <w:t xml:space="preserve">pour toute question, pour envoyer la convention de cotutelle ou l’avenant signé ou pour fin de vérification </w:t>
            </w:r>
            <w:r w:rsidRPr="00A87A63">
              <w:rPr>
                <w:i/>
                <w:sz w:val="20"/>
              </w:rPr>
              <w:t>avant</w:t>
            </w:r>
            <w:r w:rsidRPr="00A87A63">
              <w:rPr>
                <w:sz w:val="20"/>
              </w:rPr>
              <w:t xml:space="preserve"> de les faire signer : </w:t>
            </w:r>
          </w:p>
          <w:p w14:paraId="74F7609A" w14:textId="56A9F4F1" w:rsidR="007F780D" w:rsidRDefault="00C86B32" w:rsidP="003F0C6C">
            <w:pPr>
              <w:jc w:val="center"/>
            </w:pPr>
            <w:hyperlink r:id="rId8" w:history="1">
              <w:r w:rsidR="003F0C6C" w:rsidRPr="00DE6967">
                <w:rPr>
                  <w:rStyle w:val="Lienhypertexte"/>
                </w:rPr>
                <w:t>International@USherbrooke.ca</w:t>
              </w:r>
            </w:hyperlink>
          </w:p>
        </w:tc>
      </w:tr>
    </w:tbl>
    <w:p w14:paraId="6B0C3E71" w14:textId="77777777" w:rsidR="007F780D" w:rsidRDefault="007F780D" w:rsidP="00736E4D">
      <w:pPr>
        <w:spacing w:after="0"/>
        <w:jc w:val="center"/>
      </w:pPr>
    </w:p>
    <w:p w14:paraId="4FC46AB0" w14:textId="77777777" w:rsidR="003C754E" w:rsidRPr="00BA78FB" w:rsidRDefault="00316257" w:rsidP="00AE3B8C">
      <w:pPr>
        <w:jc w:val="center"/>
        <w:rPr>
          <w:b/>
          <w:caps/>
        </w:rPr>
      </w:pPr>
      <w:r w:rsidRPr="00BA78FB">
        <w:rPr>
          <w:b/>
          <w:caps/>
        </w:rPr>
        <w:t xml:space="preserve">Étapes de la </w:t>
      </w:r>
      <w:r w:rsidR="007F780D" w:rsidRPr="00BA78FB">
        <w:rPr>
          <w:b/>
          <w:caps/>
        </w:rPr>
        <w:t xml:space="preserve">mise sur pied d’une </w:t>
      </w:r>
      <w:r w:rsidRPr="00BA78FB">
        <w:rPr>
          <w:b/>
          <w:caps/>
        </w:rPr>
        <w:t>cotutelle</w:t>
      </w:r>
      <w:r w:rsidR="007F780D" w:rsidRPr="00BA78FB">
        <w:rPr>
          <w:b/>
          <w:caps/>
        </w:rPr>
        <w:t xml:space="preserve"> de thèse</w:t>
      </w:r>
    </w:p>
    <w:p w14:paraId="76A43931" w14:textId="72B2DB92" w:rsidR="00703CFA" w:rsidRDefault="00122096" w:rsidP="00426799">
      <w:pPr>
        <w:pStyle w:val="Paragraphedeliste"/>
        <w:numPr>
          <w:ilvl w:val="0"/>
          <w:numId w:val="1"/>
        </w:numPr>
        <w:spacing w:after="120" w:line="240" w:lineRule="auto"/>
        <w:ind w:left="284" w:hanging="284"/>
        <w:contextualSpacing w:val="0"/>
        <w:jc w:val="both"/>
      </w:pPr>
      <w:r>
        <w:t>CONDITION PRÉALABLE</w:t>
      </w:r>
    </w:p>
    <w:p w14:paraId="4D645E4C" w14:textId="73B3D539" w:rsidR="00122096" w:rsidRDefault="00BA78FB" w:rsidP="00703CFA">
      <w:pPr>
        <w:pStyle w:val="Paragraphedeliste"/>
        <w:spacing w:after="120" w:line="240" w:lineRule="auto"/>
        <w:ind w:left="284"/>
        <w:contextualSpacing w:val="0"/>
        <w:jc w:val="both"/>
      </w:pPr>
      <w:r>
        <w:t xml:space="preserve">La mise sur pied d’une cotutelle de thèse s’appuie initialement sur des </w:t>
      </w:r>
      <w:r w:rsidRPr="00A01DD7">
        <w:rPr>
          <w:b/>
        </w:rPr>
        <w:t>relations professionnelles déjà établies entre deux</w:t>
      </w:r>
      <w:r w:rsidR="00122096">
        <w:rPr>
          <w:b/>
        </w:rPr>
        <w:t xml:space="preserve"> professeures ou</w:t>
      </w:r>
      <w:r w:rsidRPr="00A01DD7">
        <w:rPr>
          <w:b/>
        </w:rPr>
        <w:t xml:space="preserve"> professeurs</w:t>
      </w:r>
      <w:r>
        <w:t xml:space="preserve"> (l’un provenant de l’UdeS, l’autre d’un autre établissement universitaire</w:t>
      </w:r>
      <w:r w:rsidR="003B72C2">
        <w:t xml:space="preserve"> à l’extérieur du Canada</w:t>
      </w:r>
      <w:r>
        <w:t xml:space="preserve">). </w:t>
      </w:r>
      <w:r w:rsidR="00316257">
        <w:t xml:space="preserve">Une </w:t>
      </w:r>
      <w:r w:rsidR="00AE3B8C">
        <w:t>doctorante</w:t>
      </w:r>
      <w:r w:rsidR="00316257">
        <w:t xml:space="preserve"> ou un </w:t>
      </w:r>
      <w:r w:rsidR="00AE3B8C">
        <w:t>doctorant</w:t>
      </w:r>
      <w:r w:rsidR="00316257">
        <w:t xml:space="preserve"> et </w:t>
      </w:r>
      <w:r>
        <w:t xml:space="preserve">ces </w:t>
      </w:r>
      <w:r w:rsidR="00316257">
        <w:t>deux professeures ou professeurs</w:t>
      </w:r>
      <w:r>
        <w:t xml:space="preserve"> </w:t>
      </w:r>
      <w:r w:rsidR="00316257">
        <w:t xml:space="preserve">s’entendent sur un partenariat d’encadrement de </w:t>
      </w:r>
      <w:r w:rsidR="00AE3B8C">
        <w:t>la doctorante</w:t>
      </w:r>
      <w:r w:rsidR="00FB73D0">
        <w:t xml:space="preserve"> ou </w:t>
      </w:r>
      <w:r w:rsidR="00AE3B8C">
        <w:t>du doctorant</w:t>
      </w:r>
      <w:r w:rsidR="00316257">
        <w:t xml:space="preserve"> pour ses études doctorales.</w:t>
      </w:r>
      <w:r w:rsidR="0083055D">
        <w:t xml:space="preserve"> </w:t>
      </w:r>
      <w:r w:rsidR="00122096">
        <w:t xml:space="preserve">Il est nécessaire de </w:t>
      </w:r>
      <w:r w:rsidR="00122096">
        <w:t xml:space="preserve">discuter dès le départ des conditions académiques (projet de thèse, </w:t>
      </w:r>
      <w:r w:rsidR="00122096">
        <w:t xml:space="preserve">planification du </w:t>
      </w:r>
      <w:r w:rsidR="00122096">
        <w:t>parcours, etc.), organisationnel</w:t>
      </w:r>
      <w:r w:rsidR="00122096">
        <w:t>les</w:t>
      </w:r>
      <w:r w:rsidR="00122096">
        <w:t xml:space="preserve"> (modalités d’encadrement et rôles respectifs; conciliation des exigences dans les deux institutions; </w:t>
      </w:r>
      <w:r w:rsidR="00122096">
        <w:t xml:space="preserve">prise en compte </w:t>
      </w:r>
      <w:r w:rsidR="00122096">
        <w:t xml:space="preserve">des deux cultures institutionnelles, etc.) et financières (les modalités prévues par </w:t>
      </w:r>
      <w:r w:rsidR="00122096">
        <w:t>la doctorante</w:t>
      </w:r>
      <w:r w:rsidR="00122096">
        <w:t xml:space="preserve"> ou </w:t>
      </w:r>
      <w:r w:rsidR="00122096">
        <w:t>le doctorant</w:t>
      </w:r>
      <w:r w:rsidR="00122096">
        <w:t xml:space="preserve"> ou par l’équipe </w:t>
      </w:r>
      <w:r w:rsidR="00122096">
        <w:t xml:space="preserve">de direction de thèse </w:t>
      </w:r>
      <w:r w:rsidR="00122096">
        <w:t>pour financer les études).</w:t>
      </w:r>
    </w:p>
    <w:p w14:paraId="5F682A39" w14:textId="06567430" w:rsidR="008A1291" w:rsidRDefault="008A1291" w:rsidP="008A1291">
      <w:pPr>
        <w:pStyle w:val="Paragraphedeliste"/>
        <w:numPr>
          <w:ilvl w:val="0"/>
          <w:numId w:val="1"/>
        </w:numPr>
        <w:spacing w:after="120" w:line="240" w:lineRule="auto"/>
        <w:ind w:left="284" w:hanging="284"/>
        <w:contextualSpacing w:val="0"/>
        <w:jc w:val="both"/>
      </w:pPr>
      <w:r>
        <w:t>INFORMATIONS</w:t>
      </w:r>
      <w:r w:rsidR="00122096">
        <w:t xml:space="preserve"> UTILES</w:t>
      </w:r>
      <w:r>
        <w:t xml:space="preserve">     </w:t>
      </w:r>
    </w:p>
    <w:p w14:paraId="63E121EC" w14:textId="3D56E58D" w:rsidR="00DF34AC" w:rsidRDefault="008A1291" w:rsidP="00912D78">
      <w:pPr>
        <w:pStyle w:val="Paragraphedeliste"/>
        <w:numPr>
          <w:ilvl w:val="0"/>
          <w:numId w:val="12"/>
        </w:numPr>
        <w:spacing w:after="0" w:line="240" w:lineRule="auto"/>
        <w:ind w:left="641" w:hanging="357"/>
        <w:contextualSpacing w:val="0"/>
        <w:jc w:val="both"/>
      </w:pPr>
      <w:r>
        <w:t xml:space="preserve">La professeure ou le professeur de l’UdeS ainsi que </w:t>
      </w:r>
      <w:r w:rsidR="00AE3B8C">
        <w:t>la doctorante</w:t>
      </w:r>
      <w:r>
        <w:t xml:space="preserve"> ou </w:t>
      </w:r>
      <w:r w:rsidR="00AE3B8C">
        <w:t>le doctorant</w:t>
      </w:r>
      <w:r>
        <w:t xml:space="preserve"> consultent les pages </w:t>
      </w:r>
      <w:r w:rsidR="00DF34AC">
        <w:t>suivantes :</w:t>
      </w:r>
    </w:p>
    <w:p w14:paraId="6EDBA899" w14:textId="49B11FB3" w:rsidR="00DF34AC" w:rsidRPr="00DF34AC" w:rsidRDefault="00F975F4" w:rsidP="00912D78">
      <w:pPr>
        <w:pStyle w:val="Paragraphedeliste"/>
        <w:numPr>
          <w:ilvl w:val="0"/>
          <w:numId w:val="15"/>
        </w:numPr>
        <w:spacing w:after="0" w:line="240" w:lineRule="auto"/>
        <w:ind w:left="1361" w:hanging="357"/>
        <w:contextualSpacing w:val="0"/>
        <w:jc w:val="both"/>
        <w:rPr>
          <w:lang w:val="en-CA"/>
        </w:rPr>
      </w:pPr>
      <w:proofErr w:type="spellStart"/>
      <w:r w:rsidRPr="00DF34AC">
        <w:rPr>
          <w:b/>
          <w:bCs/>
          <w:lang w:val="en-CA"/>
        </w:rPr>
        <w:t>USherbrooke</w:t>
      </w:r>
      <w:proofErr w:type="spellEnd"/>
      <w:r w:rsidRPr="00DF34AC">
        <w:rPr>
          <w:b/>
          <w:bCs/>
          <w:lang w:val="en-CA"/>
        </w:rPr>
        <w:t xml:space="preserve"> International</w:t>
      </w:r>
      <w:r w:rsidR="00DF34AC" w:rsidRPr="00DF34AC">
        <w:rPr>
          <w:lang w:val="en-CA"/>
        </w:rPr>
        <w:t xml:space="preserve"> </w:t>
      </w:r>
      <w:r w:rsidR="008A1291" w:rsidRPr="00DF34AC">
        <w:rPr>
          <w:lang w:val="en-CA"/>
        </w:rPr>
        <w:t xml:space="preserve">: </w:t>
      </w:r>
      <w:hyperlink r:id="rId9" w:history="1">
        <w:r w:rsidR="006F7D92" w:rsidRPr="00DF34AC">
          <w:rPr>
            <w:rStyle w:val="Lienhypertexte"/>
            <w:lang w:val="en-CA"/>
          </w:rPr>
          <w:t>www.usherbrooke.ca/international/fr/etudiants-udes/cotutelles-de-these/</w:t>
        </w:r>
      </w:hyperlink>
      <w:r w:rsidR="00DF34AC" w:rsidRPr="00DF34AC">
        <w:rPr>
          <w:lang w:val="en-CA"/>
        </w:rPr>
        <w:t>;</w:t>
      </w:r>
    </w:p>
    <w:p w14:paraId="6ABF6026" w14:textId="491CBF17" w:rsidR="008A1291" w:rsidRDefault="00582235" w:rsidP="00F845C5">
      <w:pPr>
        <w:pStyle w:val="Paragraphedeliste"/>
        <w:numPr>
          <w:ilvl w:val="0"/>
          <w:numId w:val="15"/>
        </w:numPr>
        <w:spacing w:after="120" w:line="240" w:lineRule="auto"/>
        <w:contextualSpacing w:val="0"/>
        <w:jc w:val="both"/>
      </w:pPr>
      <w:r w:rsidRPr="00582235">
        <w:rPr>
          <w:i/>
          <w:iCs/>
        </w:rPr>
        <w:t>Cotutelle de thèse</w:t>
      </w:r>
      <w:r>
        <w:t xml:space="preserve"> sur le site des programmes facultaires d’études supérieures : </w:t>
      </w:r>
      <w:hyperlink r:id="rId10" w:history="1">
        <w:r w:rsidR="006F7D92" w:rsidRPr="000377AF">
          <w:rPr>
            <w:rStyle w:val="Lienhypertexte"/>
          </w:rPr>
          <w:t>www.usherbrooke.ca/pfes/doctorat-education/cotutelle-de-these/</w:t>
        </w:r>
      </w:hyperlink>
      <w:r>
        <w:t>.</w:t>
      </w:r>
    </w:p>
    <w:p w14:paraId="3A28BF33" w14:textId="3A867782" w:rsidR="008A1291" w:rsidRDefault="008A1291" w:rsidP="00582235">
      <w:pPr>
        <w:pStyle w:val="Paragraphedeliste"/>
        <w:numPr>
          <w:ilvl w:val="0"/>
          <w:numId w:val="12"/>
        </w:numPr>
        <w:spacing w:after="120" w:line="240" w:lineRule="auto"/>
        <w:contextualSpacing w:val="0"/>
        <w:jc w:val="both"/>
      </w:pPr>
      <w:r>
        <w:t>Il existe des modèles de convention de cotutelle</w:t>
      </w:r>
      <w:r w:rsidR="00A01DD7">
        <w:t xml:space="preserve"> et</w:t>
      </w:r>
      <w:r>
        <w:t xml:space="preserve"> de document</w:t>
      </w:r>
      <w:r w:rsidR="00A01DD7">
        <w:t>s</w:t>
      </w:r>
      <w:r>
        <w:t xml:space="preserve"> d'information</w:t>
      </w:r>
      <w:r w:rsidR="00A01DD7">
        <w:t>s</w:t>
      </w:r>
      <w:r>
        <w:t xml:space="preserve"> </w:t>
      </w:r>
      <w:r w:rsidRPr="00A01DD7">
        <w:rPr>
          <w:b/>
        </w:rPr>
        <w:t>en quatre langues</w:t>
      </w:r>
      <w:r>
        <w:t xml:space="preserve"> : en français, en anglais, en espagnol et en mandarin.  Ces documents sont disponibles sur demande à </w:t>
      </w:r>
      <w:hyperlink r:id="rId11" w:history="1">
        <w:r w:rsidR="00F975F4">
          <w:rPr>
            <w:rStyle w:val="Lienhypertexte"/>
            <w:lang w:val="fr-FR"/>
          </w:rPr>
          <w:t>international@USherbrooke.ca</w:t>
        </w:r>
      </w:hyperlink>
      <w:r>
        <w:t>.</w:t>
      </w:r>
      <w:r w:rsidR="00F975F4">
        <w:t xml:space="preserve"> </w:t>
      </w:r>
      <w:r w:rsidR="00F975F4">
        <w:t>Lorsqu’une institution non canadienne a déjà son propre protocole de cotutelle, les services d’internationalisation des deux institutions doivent être mis en contact par les programmes respectifs afin de leur permettre de s’entendre sur le protocole à utiliser</w:t>
      </w:r>
    </w:p>
    <w:p w14:paraId="39A6C2D3" w14:textId="0C964B4C" w:rsidR="008A1291" w:rsidRPr="008A1291" w:rsidRDefault="00AE3B8C" w:rsidP="008A1291">
      <w:pPr>
        <w:pStyle w:val="Paragraphedeliste"/>
        <w:numPr>
          <w:ilvl w:val="0"/>
          <w:numId w:val="12"/>
        </w:numPr>
        <w:spacing w:after="120" w:line="240" w:lineRule="auto"/>
        <w:contextualSpacing w:val="0"/>
        <w:jc w:val="both"/>
        <w:rPr>
          <w:rStyle w:val="Lienhypertexte"/>
          <w:color w:val="auto"/>
          <w:u w:val="none"/>
        </w:rPr>
      </w:pPr>
      <w:r>
        <w:t>La doctorante</w:t>
      </w:r>
      <w:r w:rsidR="008A1291">
        <w:t xml:space="preserve"> ou </w:t>
      </w:r>
      <w:r>
        <w:t>le doctorant</w:t>
      </w:r>
      <w:r w:rsidR="008A1291">
        <w:t xml:space="preserve"> consulte le lien suivant pour tous les renseignements utiles aux </w:t>
      </w:r>
      <w:r w:rsidR="008A1291" w:rsidRPr="00A01DD7">
        <w:rPr>
          <w:b/>
        </w:rPr>
        <w:t>étudiants internationaux</w:t>
      </w:r>
      <w:r w:rsidR="008A1291">
        <w:t xml:space="preserve"> : </w:t>
      </w:r>
      <w:hyperlink r:id="rId12" w:history="1">
        <w:r w:rsidR="006F7D92" w:rsidRPr="000377AF">
          <w:rPr>
            <w:rStyle w:val="Lienhypertexte"/>
          </w:rPr>
          <w:t>www.usherbrooke.ca/etudiants-internationaux/fr/</w:t>
        </w:r>
      </w:hyperlink>
      <w:r w:rsidR="008A1291">
        <w:rPr>
          <w:rStyle w:val="Lienhypertexte"/>
        </w:rPr>
        <w:t>.</w:t>
      </w:r>
    </w:p>
    <w:p w14:paraId="02A250FA" w14:textId="15B73AC0" w:rsidR="008814A3" w:rsidRDefault="008814A3" w:rsidP="008814A3">
      <w:pPr>
        <w:pStyle w:val="Paragraphedeliste"/>
        <w:numPr>
          <w:ilvl w:val="0"/>
          <w:numId w:val="12"/>
        </w:numPr>
        <w:spacing w:after="120" w:line="240" w:lineRule="auto"/>
        <w:contextualSpacing w:val="0"/>
        <w:jc w:val="both"/>
      </w:pPr>
      <w:r w:rsidRPr="008814A3">
        <w:rPr>
          <w:smallCaps/>
        </w:rPr>
        <w:t>Documents légaux</w:t>
      </w:r>
      <w:r>
        <w:tab/>
      </w:r>
      <w:r w:rsidR="00AE3B8C">
        <w:t>La doctorante</w:t>
      </w:r>
      <w:r>
        <w:t xml:space="preserve"> ou </w:t>
      </w:r>
      <w:r w:rsidR="00AE3B8C">
        <w:t>le doctorant</w:t>
      </w:r>
      <w:r>
        <w:t xml:space="preserve"> </w:t>
      </w:r>
      <w:r w:rsidRPr="00DC6D41">
        <w:rPr>
          <w:b/>
        </w:rPr>
        <w:t>doit obtenir le CAQ et le permis d’études avant son arrivée au Québec</w:t>
      </w:r>
      <w:r>
        <w:t>, peu importe l’ordonnance</w:t>
      </w:r>
      <w:r w:rsidR="00F845C5">
        <w:t>ment</w:t>
      </w:r>
      <w:r>
        <w:t xml:space="preserve"> et la durée des périodes prévisionnelles, sans quoi elle ou il ne pourra pas s’inscrire aux activités pédagogiques du programme.</w:t>
      </w:r>
    </w:p>
    <w:p w14:paraId="5CCF70B7" w14:textId="264ED6CE" w:rsidR="00292CAD" w:rsidRDefault="008814A3" w:rsidP="0055759E">
      <w:pPr>
        <w:pStyle w:val="Paragraphedeliste"/>
        <w:numPr>
          <w:ilvl w:val="0"/>
          <w:numId w:val="12"/>
        </w:numPr>
        <w:spacing w:after="120" w:line="240" w:lineRule="auto"/>
        <w:contextualSpacing w:val="0"/>
        <w:jc w:val="both"/>
      </w:pPr>
      <w:r w:rsidRPr="00B6751F">
        <w:rPr>
          <w:smallCaps/>
        </w:rPr>
        <w:t>Frais</w:t>
      </w:r>
      <w:r>
        <w:tab/>
      </w:r>
      <w:r w:rsidR="008A1291">
        <w:t xml:space="preserve">Des études doctorales en situation de cotutelle comportent des </w:t>
      </w:r>
      <w:r w:rsidR="008A1291" w:rsidRPr="00B6751F">
        <w:rPr>
          <w:bCs/>
        </w:rPr>
        <w:t>frais</w:t>
      </w:r>
      <w:r w:rsidR="008A1291">
        <w:t xml:space="preserve"> </w:t>
      </w:r>
      <w:r w:rsidR="00B6751F">
        <w:t xml:space="preserve">considérables </w:t>
      </w:r>
      <w:r w:rsidR="009A116C">
        <w:t xml:space="preserve">assumés essentiellement par </w:t>
      </w:r>
      <w:r w:rsidR="00AE3B8C">
        <w:t>la doctorante</w:t>
      </w:r>
      <w:r w:rsidR="009A116C">
        <w:t xml:space="preserve"> ou </w:t>
      </w:r>
      <w:r w:rsidR="00AE3B8C">
        <w:t>le doctorant</w:t>
      </w:r>
      <w:r w:rsidR="00B6751F">
        <w:t>, laquelle ou lequel</w:t>
      </w:r>
      <w:r w:rsidR="009A116C">
        <w:t xml:space="preserve"> doit détenir des fonds suffisants </w:t>
      </w:r>
      <w:r w:rsidR="009A116C" w:rsidRPr="00B6751F">
        <w:rPr>
          <w:b/>
          <w:sz w:val="24"/>
          <w:u w:val="single"/>
        </w:rPr>
        <w:t>avant</w:t>
      </w:r>
      <w:r w:rsidR="009A116C" w:rsidRPr="00B6751F">
        <w:rPr>
          <w:b/>
          <w:sz w:val="24"/>
        </w:rPr>
        <w:t xml:space="preserve"> </w:t>
      </w:r>
      <w:r w:rsidR="009A116C" w:rsidRPr="00B6751F">
        <w:rPr>
          <w:b/>
        </w:rPr>
        <w:t>de commencer le processus de mise sur pied d’une cotutelle</w:t>
      </w:r>
      <w:r w:rsidR="009A116C">
        <w:t>.</w:t>
      </w:r>
      <w:r w:rsidR="00B6751F">
        <w:t xml:space="preserve"> Afin</w:t>
      </w:r>
      <w:r w:rsidR="00292CAD">
        <w:t xml:space="preserve"> d’en évaluer les frais (scolarité, subsistance, déplacements)</w:t>
      </w:r>
      <w:r w:rsidR="00B6751F">
        <w:t>, d</w:t>
      </w:r>
      <w:r w:rsidR="00292CAD">
        <w:t xml:space="preserve">es informations sont disponibles sur la page suivante : </w:t>
      </w:r>
      <w:hyperlink r:id="rId13" w:history="1">
        <w:r w:rsidR="00292CAD" w:rsidRPr="000377AF">
          <w:rPr>
            <w:rStyle w:val="Lienhypertexte"/>
          </w:rPr>
          <w:t>www.usherbrooke.ca/admission/couts-et-aide-financiere/frais-de-scolarite/</w:t>
        </w:r>
      </w:hyperlink>
      <w:r w:rsidR="00292CAD">
        <w:t>.</w:t>
      </w:r>
    </w:p>
    <w:p w14:paraId="63EB28EF" w14:textId="77777777" w:rsidR="00703CFA" w:rsidRDefault="00350F27" w:rsidP="00426799">
      <w:pPr>
        <w:pStyle w:val="Paragraphedeliste"/>
        <w:numPr>
          <w:ilvl w:val="0"/>
          <w:numId w:val="1"/>
        </w:numPr>
        <w:spacing w:after="120" w:line="240" w:lineRule="auto"/>
        <w:ind w:left="284" w:hanging="284"/>
        <w:contextualSpacing w:val="0"/>
        <w:jc w:val="both"/>
      </w:pPr>
      <w:r>
        <w:t>DEMANDES D’ADMISSION</w:t>
      </w:r>
    </w:p>
    <w:p w14:paraId="05620712" w14:textId="5E1C7AAC" w:rsidR="00FB73D0" w:rsidRDefault="00AE3B8C" w:rsidP="00703CFA">
      <w:pPr>
        <w:pStyle w:val="Paragraphedeliste"/>
        <w:spacing w:after="120" w:line="240" w:lineRule="auto"/>
        <w:ind w:left="284"/>
        <w:contextualSpacing w:val="0"/>
        <w:jc w:val="both"/>
      </w:pPr>
      <w:r>
        <w:t>La doctorante</w:t>
      </w:r>
      <w:r w:rsidR="00FB73D0">
        <w:t xml:space="preserve"> ou </w:t>
      </w:r>
      <w:r>
        <w:t>le doctorant</w:t>
      </w:r>
      <w:r w:rsidR="00FB73D0">
        <w:t xml:space="preserve"> doit déposer une demande d’admission </w:t>
      </w:r>
      <w:r w:rsidR="00FB73D0" w:rsidRPr="0000562D">
        <w:rPr>
          <w:b/>
        </w:rPr>
        <w:t>et recevoir une offre d’admission</w:t>
      </w:r>
      <w:r w:rsidR="00FB73D0">
        <w:t xml:space="preserve"> dans les deux universités</w:t>
      </w:r>
      <w:r w:rsidR="00534403">
        <w:t xml:space="preserve"> </w:t>
      </w:r>
      <w:r w:rsidR="00534403" w:rsidRPr="008814A3">
        <w:rPr>
          <w:b/>
          <w:u w:val="single"/>
        </w:rPr>
        <w:t>avant</w:t>
      </w:r>
      <w:r w:rsidR="00534403">
        <w:t xml:space="preserve"> </w:t>
      </w:r>
      <w:r w:rsidR="00BA78FB">
        <w:t xml:space="preserve">de compléter la convention de </w:t>
      </w:r>
      <w:r w:rsidR="00534403">
        <w:t>la cotutelle.</w:t>
      </w:r>
    </w:p>
    <w:p w14:paraId="3EE4D1E5" w14:textId="4247DF88" w:rsidR="00703CFA" w:rsidRDefault="00350F27" w:rsidP="00426799">
      <w:pPr>
        <w:pStyle w:val="Paragraphedeliste"/>
        <w:numPr>
          <w:ilvl w:val="0"/>
          <w:numId w:val="1"/>
        </w:numPr>
        <w:spacing w:after="120" w:line="240" w:lineRule="auto"/>
        <w:ind w:left="284" w:hanging="284"/>
        <w:contextualSpacing w:val="0"/>
        <w:jc w:val="both"/>
      </w:pPr>
      <w:r>
        <w:lastRenderedPageBreak/>
        <w:t>COMMUNICATION DU PROJET DE COTUTELLE</w:t>
      </w:r>
    </w:p>
    <w:p w14:paraId="2FBA0003" w14:textId="1434AA3C" w:rsidR="00703CFA" w:rsidRDefault="00703CFA" w:rsidP="00703CFA">
      <w:pPr>
        <w:pStyle w:val="Paragraphedeliste"/>
        <w:spacing w:after="120" w:line="240" w:lineRule="auto"/>
        <w:ind w:left="284"/>
        <w:contextualSpacing w:val="0"/>
        <w:jc w:val="both"/>
      </w:pPr>
      <w:r>
        <w:t>Le</w:t>
      </w:r>
      <w:r w:rsidR="00FA72F5">
        <w:t xml:space="preserve"> </w:t>
      </w:r>
      <w:r w:rsidR="007D05E9">
        <w:t xml:space="preserve">secrétariat des </w:t>
      </w:r>
      <w:r w:rsidR="00150D60">
        <w:t>programmes facultaires d’</w:t>
      </w:r>
      <w:r w:rsidR="007D05E9">
        <w:t>études supérieures</w:t>
      </w:r>
      <w:r w:rsidR="00FA72F5">
        <w:t xml:space="preserve"> de l’UdeS</w:t>
      </w:r>
      <w:r w:rsidR="007D05E9">
        <w:t xml:space="preserve"> </w:t>
      </w:r>
      <w:r w:rsidR="00FA72F5">
        <w:t>(</w:t>
      </w:r>
      <w:hyperlink r:id="rId14" w:history="1">
        <w:r w:rsidR="007D05E9" w:rsidRPr="00011A3D">
          <w:rPr>
            <w:rStyle w:val="Lienhypertexte"/>
          </w:rPr>
          <w:t>pfes.education@USherbrooke.ca</w:t>
        </w:r>
      </w:hyperlink>
      <w:r w:rsidR="007D05E9">
        <w:t xml:space="preserve">) doit être informé </w:t>
      </w:r>
      <w:r w:rsidR="00150D60">
        <w:t>dès que</w:t>
      </w:r>
      <w:r w:rsidR="00BB71BB">
        <w:t xml:space="preserve"> possible </w:t>
      </w:r>
      <w:r w:rsidR="00035421" w:rsidRPr="00912D78">
        <w:t>du projet de cotutelle</w:t>
      </w:r>
      <w:r w:rsidR="00B54676">
        <w:t xml:space="preserve">, </w:t>
      </w:r>
      <w:r w:rsidR="00B54676" w:rsidRPr="00912D78">
        <w:rPr>
          <w:bCs/>
        </w:rPr>
        <w:t>par la professeure ou le professeur de l’UdeS</w:t>
      </w:r>
      <w:r w:rsidR="00035421" w:rsidRPr="00912D78">
        <w:rPr>
          <w:bCs/>
        </w:rPr>
        <w:t>.</w:t>
      </w:r>
      <w:r w:rsidR="006B7442" w:rsidRPr="00912D78">
        <w:rPr>
          <w:bCs/>
        </w:rPr>
        <w:t xml:space="preserve"> </w:t>
      </w:r>
    </w:p>
    <w:p w14:paraId="4A8A2AF8" w14:textId="77777777" w:rsidR="00703CFA" w:rsidRPr="00703CFA" w:rsidRDefault="00CC2AC7" w:rsidP="006E2222">
      <w:pPr>
        <w:pStyle w:val="Paragraphedeliste"/>
        <w:numPr>
          <w:ilvl w:val="0"/>
          <w:numId w:val="1"/>
        </w:numPr>
        <w:spacing w:after="120" w:line="240" w:lineRule="auto"/>
        <w:ind w:left="284" w:hanging="284"/>
        <w:contextualSpacing w:val="0"/>
        <w:jc w:val="both"/>
      </w:pPr>
      <w:r>
        <w:t>COMPLÉTION DE LA CONVENTION</w:t>
      </w:r>
      <w:r w:rsidR="007C41BB" w:rsidRPr="007C41BB">
        <w:rPr>
          <w:color w:val="C00000"/>
        </w:rPr>
        <w:t>*</w:t>
      </w:r>
    </w:p>
    <w:p w14:paraId="3A43527A" w14:textId="24F30474" w:rsidR="007B5FDF" w:rsidRPr="006B7442" w:rsidRDefault="00BE151C" w:rsidP="007B5FDF">
      <w:pPr>
        <w:pStyle w:val="Paragraphedeliste"/>
        <w:spacing w:after="120" w:line="240" w:lineRule="auto"/>
        <w:ind w:left="284"/>
        <w:contextualSpacing w:val="0"/>
        <w:jc w:val="both"/>
        <w:rPr>
          <w:iCs/>
          <w:color w:val="C00000"/>
          <w:sz w:val="20"/>
        </w:rPr>
      </w:pPr>
      <w:r>
        <w:t>La professeure ou le professeur de l’UdeS complète l</w:t>
      </w:r>
      <w:r w:rsidR="00112958">
        <w:t>e formulaire de</w:t>
      </w:r>
      <w:r>
        <w:t xml:space="preserve"> </w:t>
      </w:r>
      <w:r w:rsidRPr="003C6C19">
        <w:rPr>
          <w:b/>
          <w:i/>
        </w:rPr>
        <w:t>Convention de cotutelle</w:t>
      </w:r>
      <w:r w:rsidR="009F0CB3" w:rsidRPr="003C6C19">
        <w:rPr>
          <w:b/>
          <w:i/>
        </w:rPr>
        <w:t xml:space="preserve"> de thèse</w:t>
      </w:r>
      <w:r>
        <w:t xml:space="preserve">, en </w:t>
      </w:r>
      <w:r w:rsidRPr="00457B22">
        <w:t>collaboration</w:t>
      </w:r>
      <w:r>
        <w:t xml:space="preserve"> avec la ou le partenaire de l’autre établissement universitaire ainsi que </w:t>
      </w:r>
      <w:r w:rsidR="00AE3B8C">
        <w:t>la doctorante</w:t>
      </w:r>
      <w:r>
        <w:t xml:space="preserve"> ou </w:t>
      </w:r>
      <w:r w:rsidR="00AE3B8C">
        <w:t>le doctorant</w:t>
      </w:r>
      <w:r>
        <w:t xml:space="preserve"> concerné.</w:t>
      </w:r>
      <w:r w:rsidR="006B7442">
        <w:t xml:space="preserve"> </w:t>
      </w:r>
      <w:r w:rsidR="007B5FDF" w:rsidRPr="007B5FDF">
        <w:rPr>
          <w:i/>
          <w:color w:val="C00000"/>
          <w:sz w:val="20"/>
        </w:rPr>
        <w:t xml:space="preserve"> </w:t>
      </w:r>
      <w:r w:rsidR="006B7442">
        <w:t xml:space="preserve">La convention de cotutelle doit être complétée </w:t>
      </w:r>
      <w:r w:rsidR="006B7442" w:rsidRPr="00150D60">
        <w:rPr>
          <w:b/>
          <w:bCs/>
        </w:rPr>
        <w:t xml:space="preserve">avant la fin de la première année </w:t>
      </w:r>
      <w:r w:rsidR="006B7442">
        <w:t>au doctorat en éducation.</w:t>
      </w:r>
    </w:p>
    <w:p w14:paraId="36BD10E1" w14:textId="65FE5FD1" w:rsidR="007B5FDF" w:rsidRPr="007C41BB" w:rsidRDefault="007B5FDF" w:rsidP="007B5FDF">
      <w:pPr>
        <w:pStyle w:val="Paragraphedeliste"/>
        <w:spacing w:after="120" w:line="240" w:lineRule="auto"/>
        <w:ind w:left="284"/>
        <w:contextualSpacing w:val="0"/>
        <w:jc w:val="both"/>
        <w:rPr>
          <w:i/>
          <w:color w:val="C00000"/>
          <w:sz w:val="20"/>
        </w:rPr>
      </w:pPr>
      <w:r w:rsidRPr="007C41BB">
        <w:rPr>
          <w:i/>
          <w:color w:val="C00000"/>
          <w:sz w:val="20"/>
        </w:rPr>
        <w:t xml:space="preserve">*Voir </w:t>
      </w:r>
      <w:r w:rsidRPr="00342215">
        <w:rPr>
          <w:b/>
          <w:i/>
          <w:color w:val="C00000"/>
          <w:sz w:val="20"/>
        </w:rPr>
        <w:t>Informations complémentaires</w:t>
      </w:r>
      <w:r w:rsidRPr="007C41BB">
        <w:rPr>
          <w:i/>
          <w:color w:val="C00000"/>
          <w:sz w:val="20"/>
        </w:rPr>
        <w:t xml:space="preserve"> à la fin du</w:t>
      </w:r>
      <w:r>
        <w:rPr>
          <w:i/>
          <w:color w:val="C00000"/>
          <w:sz w:val="20"/>
        </w:rPr>
        <w:t xml:space="preserve"> présent</w:t>
      </w:r>
      <w:r w:rsidRPr="007C41BB">
        <w:rPr>
          <w:i/>
          <w:color w:val="C00000"/>
          <w:sz w:val="20"/>
        </w:rPr>
        <w:t xml:space="preserve"> document</w:t>
      </w:r>
      <w:r>
        <w:rPr>
          <w:i/>
          <w:color w:val="C00000"/>
          <w:sz w:val="20"/>
        </w:rPr>
        <w:t>, pour des précisions sur la façon de compléter une convention de cotutelle</w:t>
      </w:r>
      <w:r w:rsidRPr="007C41BB">
        <w:rPr>
          <w:i/>
          <w:color w:val="C00000"/>
          <w:sz w:val="20"/>
        </w:rPr>
        <w:t>.</w:t>
      </w:r>
    </w:p>
    <w:p w14:paraId="50B7161E" w14:textId="77777777" w:rsidR="00703CFA" w:rsidRDefault="008853C9" w:rsidP="00E04580">
      <w:pPr>
        <w:pStyle w:val="Paragraphedeliste"/>
        <w:numPr>
          <w:ilvl w:val="0"/>
          <w:numId w:val="1"/>
        </w:numPr>
        <w:spacing w:after="120" w:line="240" w:lineRule="auto"/>
        <w:ind w:left="284" w:hanging="284"/>
        <w:contextualSpacing w:val="0"/>
        <w:jc w:val="both"/>
      </w:pPr>
      <w:r>
        <w:t>VALIDATION DE LA CONVENTION</w:t>
      </w:r>
    </w:p>
    <w:p w14:paraId="2D441CE4" w14:textId="5E72BCA5" w:rsidR="003C6C19" w:rsidRDefault="00C538F6" w:rsidP="00504068">
      <w:pPr>
        <w:pStyle w:val="Paragraphedeliste"/>
        <w:spacing w:after="120" w:line="240" w:lineRule="auto"/>
        <w:ind w:left="284"/>
        <w:contextualSpacing w:val="0"/>
        <w:jc w:val="both"/>
      </w:pPr>
      <w:r>
        <w:t>Une fois la convention complétée, l</w:t>
      </w:r>
      <w:r w:rsidR="008853C9">
        <w:t>a professeure ou le professeur de l’</w:t>
      </w:r>
      <w:proofErr w:type="spellStart"/>
      <w:r w:rsidR="008853C9">
        <w:t>UdeS</w:t>
      </w:r>
      <w:proofErr w:type="spellEnd"/>
      <w:r w:rsidR="008853C9">
        <w:t xml:space="preserve"> fait valider le contenu de la convention par les personnes responsables des cotutelles dans les deux universités partenaires</w:t>
      </w:r>
      <w:r w:rsidR="00D279AC">
        <w:t xml:space="preserve"> : le programme de doctorat en éducation en concertation avec le vice-décanat aux études supérieures </w:t>
      </w:r>
      <w:r>
        <w:t>(</w:t>
      </w:r>
      <w:hyperlink r:id="rId15" w:history="1">
        <w:r w:rsidRPr="00336925">
          <w:rPr>
            <w:rStyle w:val="Lienhypertexte"/>
          </w:rPr>
          <w:t>pfes.education@USherbrooke.ca</w:t>
        </w:r>
      </w:hyperlink>
      <w:r>
        <w:t xml:space="preserve">) </w:t>
      </w:r>
      <w:r w:rsidR="008853C9">
        <w:t xml:space="preserve">et </w:t>
      </w:r>
      <w:proofErr w:type="spellStart"/>
      <w:r w:rsidR="00D279AC">
        <w:t>USherbrooke</w:t>
      </w:r>
      <w:proofErr w:type="spellEnd"/>
      <w:r w:rsidR="00D279AC">
        <w:t xml:space="preserve"> International</w:t>
      </w:r>
      <w:r w:rsidR="008853C9">
        <w:t xml:space="preserve"> </w:t>
      </w:r>
      <w:r>
        <w:t>(</w:t>
      </w:r>
      <w:hyperlink r:id="rId16" w:history="1">
        <w:r w:rsidR="00D279AC">
          <w:rPr>
            <w:rStyle w:val="Lienhypertexte"/>
            <w:lang w:val="fr-FR"/>
          </w:rPr>
          <w:t>international@USherbrooke.ca</w:t>
        </w:r>
      </w:hyperlink>
      <w:r w:rsidR="00D279AC">
        <w:rPr>
          <w:lang w:val="fr-FR"/>
        </w:rPr>
        <w:t>)</w:t>
      </w:r>
      <w:r w:rsidR="00D279AC">
        <w:rPr>
          <w:lang w:val="fr-FR"/>
        </w:rPr>
        <w:t xml:space="preserve"> </w:t>
      </w:r>
      <w:r w:rsidR="008853C9">
        <w:t>pour l’Université de Sherbrooke</w:t>
      </w:r>
      <w:r w:rsidR="00D279AC">
        <w:t xml:space="preserve">; et les services équivalents de l’institution partenaire. </w:t>
      </w:r>
    </w:p>
    <w:p w14:paraId="4FB80B4E" w14:textId="77777777" w:rsidR="00703CFA" w:rsidRDefault="00CC2AC7" w:rsidP="00515835">
      <w:pPr>
        <w:pStyle w:val="Paragraphedeliste"/>
        <w:numPr>
          <w:ilvl w:val="0"/>
          <w:numId w:val="1"/>
        </w:numPr>
        <w:spacing w:after="80" w:line="240" w:lineRule="auto"/>
        <w:ind w:left="284" w:hanging="284"/>
        <w:contextualSpacing w:val="0"/>
        <w:jc w:val="both"/>
      </w:pPr>
      <w:r>
        <w:t>PREMIÈRES SIGNATURES DE LA CONVENTION</w:t>
      </w:r>
    </w:p>
    <w:p w14:paraId="2ADF59FA" w14:textId="15BA5D45" w:rsidR="007C3E36" w:rsidRDefault="00515835" w:rsidP="00703CFA">
      <w:pPr>
        <w:pStyle w:val="Paragraphedeliste"/>
        <w:spacing w:after="80" w:line="240" w:lineRule="auto"/>
        <w:ind w:left="284"/>
        <w:contextualSpacing w:val="0"/>
        <w:jc w:val="both"/>
      </w:pPr>
      <w:r>
        <w:t xml:space="preserve">La </w:t>
      </w:r>
      <w:r w:rsidRPr="00B93661">
        <w:rPr>
          <w:b/>
          <w:bCs/>
        </w:rPr>
        <w:t>doctorante ou le doctorant</w:t>
      </w:r>
      <w:r>
        <w:t xml:space="preserve"> signe la convention de cotutelle, ainsi que l</w:t>
      </w:r>
      <w:r w:rsidR="00C538F6">
        <w:t xml:space="preserve">es </w:t>
      </w:r>
      <w:r w:rsidR="00C538F6" w:rsidRPr="00B93661">
        <w:rPr>
          <w:b/>
          <w:bCs/>
        </w:rPr>
        <w:t>deux</w:t>
      </w:r>
      <w:r w:rsidR="007443E3" w:rsidRPr="00B93661">
        <w:rPr>
          <w:b/>
          <w:bCs/>
        </w:rPr>
        <w:t xml:space="preserve"> </w:t>
      </w:r>
      <w:r w:rsidR="008B3066">
        <w:rPr>
          <w:b/>
          <w:bCs/>
        </w:rPr>
        <w:t xml:space="preserve">professeures ou </w:t>
      </w:r>
      <w:r w:rsidR="007443E3" w:rsidRPr="00B93661">
        <w:rPr>
          <w:b/>
          <w:bCs/>
        </w:rPr>
        <w:t>professeur</w:t>
      </w:r>
      <w:r w:rsidR="00C538F6" w:rsidRPr="00B93661">
        <w:rPr>
          <w:b/>
          <w:bCs/>
        </w:rPr>
        <w:t>s</w:t>
      </w:r>
      <w:r w:rsidR="00C538F6">
        <w:t xml:space="preserve"> qui l’encadreront</w:t>
      </w:r>
      <w:r w:rsidR="007443E3">
        <w:t xml:space="preserve"> </w:t>
      </w:r>
      <w:r w:rsidR="00C538F6">
        <w:t xml:space="preserve">(l’un de </w:t>
      </w:r>
      <w:r w:rsidR="007443E3">
        <w:t>l’UdeS</w:t>
      </w:r>
      <w:r w:rsidR="00C538F6">
        <w:t xml:space="preserve">, l’autre de </w:t>
      </w:r>
      <w:r>
        <w:t>l’université partenaire</w:t>
      </w:r>
      <w:r w:rsidR="00C538F6">
        <w:t>)</w:t>
      </w:r>
      <w:r>
        <w:t xml:space="preserve">. </w:t>
      </w:r>
      <w:r w:rsidR="007443E3">
        <w:t>Si une codirection est identifiée, sa signature sera aussi requise.</w:t>
      </w:r>
    </w:p>
    <w:p w14:paraId="4FFB0DEA" w14:textId="6D519BE7" w:rsidR="00F37D2B" w:rsidRDefault="00F37D2B" w:rsidP="008B3066">
      <w:pPr>
        <w:pStyle w:val="Paragraphedeliste"/>
        <w:spacing w:after="120" w:line="240" w:lineRule="auto"/>
        <w:ind w:left="284"/>
        <w:contextualSpacing w:val="0"/>
        <w:jc w:val="both"/>
      </w:pPr>
      <w:r>
        <w:t>Les signatures électroniques sont fortement encouragées.</w:t>
      </w:r>
    </w:p>
    <w:p w14:paraId="7474D495" w14:textId="77777777" w:rsidR="00E42AAF" w:rsidRDefault="009A2808" w:rsidP="00C27017">
      <w:pPr>
        <w:pStyle w:val="Paragraphedeliste"/>
        <w:numPr>
          <w:ilvl w:val="0"/>
          <w:numId w:val="1"/>
        </w:numPr>
        <w:spacing w:after="80" w:line="240" w:lineRule="auto"/>
        <w:ind w:left="284" w:hanging="284"/>
        <w:contextualSpacing w:val="0"/>
        <w:jc w:val="both"/>
      </w:pPr>
      <w:r>
        <w:t>SUIVI DES AUTRES SIGNATURES PAR LE SECRÉTARIAT</w:t>
      </w:r>
    </w:p>
    <w:p w14:paraId="123EB7D0" w14:textId="2ED04E35" w:rsidR="00B2066F" w:rsidRDefault="00EB02D1" w:rsidP="00E42AAF">
      <w:pPr>
        <w:pStyle w:val="Paragraphedeliste"/>
        <w:spacing w:after="80" w:line="240" w:lineRule="auto"/>
        <w:ind w:left="284"/>
        <w:contextualSpacing w:val="0"/>
        <w:jc w:val="both"/>
      </w:pPr>
      <w:r>
        <w:t>L</w:t>
      </w:r>
      <w:r w:rsidR="007C3E36">
        <w:t>a professeur</w:t>
      </w:r>
      <w:r w:rsidR="00B93661">
        <w:t>e</w:t>
      </w:r>
      <w:r w:rsidR="007C3E36">
        <w:t xml:space="preserve"> ou le professeur de l’UdeS</w:t>
      </w:r>
      <w:r w:rsidR="003C6C19">
        <w:t xml:space="preserve"> transmet </w:t>
      </w:r>
      <w:r w:rsidR="007C3E36">
        <w:t xml:space="preserve">la </w:t>
      </w:r>
      <w:r w:rsidR="007C3E36" w:rsidRPr="009A2808">
        <w:rPr>
          <w:b/>
          <w:i/>
        </w:rPr>
        <w:t>Convention de cotutelle de thèse</w:t>
      </w:r>
      <w:r w:rsidR="007C3E36">
        <w:t xml:space="preserve"> </w:t>
      </w:r>
      <w:r w:rsidR="005B28E0">
        <w:t xml:space="preserve">signée </w:t>
      </w:r>
      <w:r w:rsidR="00BC37A5">
        <w:t>par</w:t>
      </w:r>
      <w:r w:rsidR="005B28E0">
        <w:t xml:space="preserve"> ces trois personnes </w:t>
      </w:r>
      <w:r w:rsidR="005D2159">
        <w:t xml:space="preserve">(voir point </w:t>
      </w:r>
      <w:r w:rsidR="00C538F6">
        <w:t>7</w:t>
      </w:r>
      <w:r w:rsidR="005D2159">
        <w:t xml:space="preserve">) </w:t>
      </w:r>
      <w:r w:rsidR="003C6C19">
        <w:t>au secrétariat</w:t>
      </w:r>
      <w:r w:rsidR="00850886">
        <w:t xml:space="preserve"> des </w:t>
      </w:r>
      <w:r w:rsidR="00B93661">
        <w:t>programmes facultaires d’</w:t>
      </w:r>
      <w:r w:rsidR="00850886">
        <w:t>études supérieures</w:t>
      </w:r>
      <w:r w:rsidR="003C6C19">
        <w:t xml:space="preserve"> </w:t>
      </w:r>
      <w:r w:rsidR="00850886">
        <w:t>(</w:t>
      </w:r>
      <w:hyperlink r:id="rId17" w:history="1">
        <w:r w:rsidR="003C6C19" w:rsidRPr="00011A3D">
          <w:rPr>
            <w:rStyle w:val="Lienhypertexte"/>
          </w:rPr>
          <w:t>pfes.education@USherbrooke.ca</w:t>
        </w:r>
      </w:hyperlink>
      <w:r w:rsidR="00850886">
        <w:t>)</w:t>
      </w:r>
      <w:r w:rsidR="007C3E36">
        <w:t xml:space="preserve"> pour fin de suivi des autres signatures</w:t>
      </w:r>
      <w:r w:rsidR="00850886">
        <w:t>.</w:t>
      </w:r>
      <w:r w:rsidR="007C3E36">
        <w:t xml:space="preserve"> </w:t>
      </w:r>
    </w:p>
    <w:p w14:paraId="7A05CBC5" w14:textId="326ED2BB" w:rsidR="00B2066F" w:rsidRDefault="00B2066F" w:rsidP="00462A5D">
      <w:pPr>
        <w:pStyle w:val="Paragraphedeliste"/>
        <w:numPr>
          <w:ilvl w:val="0"/>
          <w:numId w:val="7"/>
        </w:numPr>
        <w:spacing w:after="0" w:line="240" w:lineRule="auto"/>
        <w:jc w:val="both"/>
      </w:pPr>
      <w:r>
        <w:t xml:space="preserve">Le secrétariat </w:t>
      </w:r>
      <w:r w:rsidR="00C414A5">
        <w:t xml:space="preserve">des </w:t>
      </w:r>
      <w:r w:rsidR="00B93661">
        <w:t>programmes facultaires d’</w:t>
      </w:r>
      <w:r w:rsidR="00C414A5">
        <w:t xml:space="preserve">études supérieures </w:t>
      </w:r>
      <w:r w:rsidR="00515835">
        <w:t xml:space="preserve">de l’Université de Sherbrooke </w:t>
      </w:r>
      <w:r w:rsidR="00802A9A">
        <w:t>transmet</w:t>
      </w:r>
      <w:r w:rsidR="00EF65A8">
        <w:t xml:space="preserve">, pour signature, </w:t>
      </w:r>
      <w:r w:rsidR="00802A9A" w:rsidRPr="00802A9A">
        <w:t>la convention</w:t>
      </w:r>
      <w:r w:rsidR="00EF65A8">
        <w:t xml:space="preserve"> de cotutelle </w:t>
      </w:r>
      <w:r w:rsidR="00B93661">
        <w:t xml:space="preserve">1) </w:t>
      </w:r>
      <w:r w:rsidR="00EF65A8">
        <w:t xml:space="preserve">à </w:t>
      </w:r>
      <w:r>
        <w:t>l</w:t>
      </w:r>
      <w:r w:rsidRPr="00912D78">
        <w:t>a vice-doyenne</w:t>
      </w:r>
      <w:r w:rsidR="00802A9A" w:rsidRPr="00912D78">
        <w:t xml:space="preserve"> </w:t>
      </w:r>
      <w:r w:rsidRPr="00912D78">
        <w:t xml:space="preserve">ou </w:t>
      </w:r>
      <w:r w:rsidR="00802A9A" w:rsidRPr="00912D78">
        <w:t xml:space="preserve">au </w:t>
      </w:r>
      <w:r w:rsidRPr="00912D78">
        <w:t xml:space="preserve">vice-doyen à la recherche </w:t>
      </w:r>
      <w:r w:rsidR="00CF36F9" w:rsidRPr="00912D78">
        <w:t>et aux études supérieures à la recherche</w:t>
      </w:r>
      <w:r w:rsidR="00EF65A8" w:rsidRPr="00912D78">
        <w:t xml:space="preserve"> </w:t>
      </w:r>
      <w:r w:rsidR="00EF65A8">
        <w:t>et 2)</w:t>
      </w:r>
      <w:r>
        <w:t xml:space="preserve"> à</w:t>
      </w:r>
      <w:r w:rsidR="00B416B8">
        <w:t xml:space="preserve"> </w:t>
      </w:r>
      <w:proofErr w:type="spellStart"/>
      <w:r w:rsidR="00CF0782">
        <w:t>USherbrooke</w:t>
      </w:r>
      <w:proofErr w:type="spellEnd"/>
      <w:r w:rsidR="00CF0782">
        <w:t xml:space="preserve"> International</w:t>
      </w:r>
      <w:r w:rsidR="00B416B8">
        <w:t xml:space="preserve"> </w:t>
      </w:r>
      <w:r w:rsidR="00C538F6">
        <w:t>(</w:t>
      </w:r>
      <w:hyperlink r:id="rId18" w:history="1">
        <w:r w:rsidR="00CF0782">
          <w:rPr>
            <w:rStyle w:val="Lienhypertexte"/>
            <w:lang w:val="fr-FR"/>
          </w:rPr>
          <w:t>international@USherbrooke.ca</w:t>
        </w:r>
      </w:hyperlink>
      <w:r w:rsidR="00C538F6">
        <w:rPr>
          <w:rStyle w:val="Lienhypertexte"/>
        </w:rPr>
        <w:t>)</w:t>
      </w:r>
      <w:r>
        <w:t>, qui fera le suivi des autres signatures :</w:t>
      </w:r>
    </w:p>
    <w:p w14:paraId="4B674345" w14:textId="3BEFCDBB" w:rsidR="000450DC" w:rsidRDefault="00434EAD" w:rsidP="00EF65A8">
      <w:pPr>
        <w:pStyle w:val="Paragraphedeliste"/>
        <w:spacing w:after="0" w:line="240" w:lineRule="auto"/>
        <w:jc w:val="both"/>
      </w:pPr>
      <w:r w:rsidRPr="00434EAD">
        <w:rPr>
          <w:i/>
        </w:rPr>
        <w:t>Université de Sherbrooke</w:t>
      </w:r>
      <w:r>
        <w:rPr>
          <w:i/>
        </w:rPr>
        <w:t> :</w:t>
      </w:r>
      <w:r w:rsidR="00EF65A8">
        <w:rPr>
          <w:iCs/>
        </w:rPr>
        <w:t xml:space="preserve"> </w:t>
      </w:r>
      <w:r w:rsidR="00EF65A8">
        <w:rPr>
          <w:iCs/>
        </w:rPr>
        <w:tab/>
      </w:r>
      <w:r w:rsidR="00EF65A8">
        <w:rPr>
          <w:iCs/>
        </w:rPr>
        <w:tab/>
      </w:r>
      <w:r w:rsidR="000450DC" w:rsidRPr="00893A78">
        <w:rPr>
          <w:b/>
        </w:rPr>
        <w:t>Vice-recteur ou vice-rectrice aux relations internationales</w:t>
      </w:r>
      <w:r w:rsidR="00B2066F">
        <w:t xml:space="preserve"> </w:t>
      </w:r>
    </w:p>
    <w:p w14:paraId="522C969B" w14:textId="135A5CA9" w:rsidR="000450DC" w:rsidRPr="00893A78" w:rsidRDefault="000450DC" w:rsidP="00F03718">
      <w:pPr>
        <w:pStyle w:val="Paragraphedeliste"/>
        <w:spacing w:after="120" w:line="240" w:lineRule="auto"/>
        <w:ind w:left="284" w:firstLine="425"/>
        <w:contextualSpacing w:val="0"/>
        <w:rPr>
          <w:b/>
        </w:rPr>
      </w:pPr>
      <w:r w:rsidRPr="00893A78">
        <w:rPr>
          <w:i/>
        </w:rPr>
        <w:t xml:space="preserve">Établissement </w:t>
      </w:r>
      <w:r w:rsidR="00A5170C">
        <w:rPr>
          <w:i/>
        </w:rPr>
        <w:t xml:space="preserve">universitaire </w:t>
      </w:r>
      <w:r w:rsidRPr="00893A78">
        <w:rPr>
          <w:i/>
        </w:rPr>
        <w:t>partenaire</w:t>
      </w:r>
      <w:r>
        <w:t> :</w:t>
      </w:r>
      <w:r w:rsidR="00EF65A8">
        <w:t xml:space="preserve"> </w:t>
      </w:r>
      <w:r w:rsidRPr="00893A78">
        <w:rPr>
          <w:b/>
        </w:rPr>
        <w:t>Responsable de la formation doctorale</w:t>
      </w:r>
    </w:p>
    <w:p w14:paraId="2E2A335B" w14:textId="6CE70A3B" w:rsidR="00C27017" w:rsidRDefault="00C27017" w:rsidP="00703CFA">
      <w:pPr>
        <w:spacing w:after="120" w:line="240" w:lineRule="auto"/>
        <w:ind w:left="284"/>
        <w:jc w:val="both"/>
      </w:pPr>
      <w:r>
        <w:t xml:space="preserve">La convention de cotutelle de thèse, signée par tous les intervenants dans les deux établissements partenaires, </w:t>
      </w:r>
      <w:r w:rsidR="00665C02">
        <w:t>est</w:t>
      </w:r>
      <w:r>
        <w:t xml:space="preserve"> retournée </w:t>
      </w:r>
      <w:r w:rsidR="0000562D">
        <w:t xml:space="preserve">par l’établissement universitaire partenaire </w:t>
      </w:r>
      <w:r>
        <w:t xml:space="preserve">au secrétariat des </w:t>
      </w:r>
      <w:r w:rsidR="00492E74">
        <w:t>programmes facultaires d’</w:t>
      </w:r>
      <w:r>
        <w:t xml:space="preserve">études supérieures de </w:t>
      </w:r>
      <w:r w:rsidR="00BB2714">
        <w:t xml:space="preserve">la Faculté </w:t>
      </w:r>
      <w:r w:rsidR="0000562D">
        <w:t xml:space="preserve">d’éducation à </w:t>
      </w:r>
      <w:hyperlink r:id="rId19" w:history="1">
        <w:r w:rsidR="0000562D" w:rsidRPr="009E4E31">
          <w:rPr>
            <w:rStyle w:val="Lienhypertexte"/>
          </w:rPr>
          <w:t>pfes.education@USherbrooke.ca</w:t>
        </w:r>
      </w:hyperlink>
      <w:r w:rsidR="0000562D">
        <w:t xml:space="preserve"> </w:t>
      </w:r>
      <w:r>
        <w:t xml:space="preserve">et classée </w:t>
      </w:r>
      <w:r w:rsidR="00C538F6">
        <w:t>au</w:t>
      </w:r>
      <w:r>
        <w:t xml:space="preserve"> dossier d</w:t>
      </w:r>
      <w:r w:rsidR="00C538F6">
        <w:t>e la doctorante ou du doctorant</w:t>
      </w:r>
      <w:r>
        <w:t xml:space="preserve">. </w:t>
      </w:r>
    </w:p>
    <w:p w14:paraId="0A10CB8F" w14:textId="77777777" w:rsidR="00703CFA" w:rsidRPr="00703CFA" w:rsidRDefault="00703CFA" w:rsidP="00703CFA">
      <w:pPr>
        <w:pStyle w:val="Paragraphedeliste"/>
        <w:numPr>
          <w:ilvl w:val="0"/>
          <w:numId w:val="1"/>
        </w:numPr>
        <w:spacing w:after="120" w:line="240" w:lineRule="auto"/>
        <w:ind w:left="284" w:hanging="284"/>
        <w:contextualSpacing w:val="0"/>
        <w:jc w:val="both"/>
        <w:rPr>
          <w:caps/>
        </w:rPr>
      </w:pPr>
      <w:r w:rsidRPr="00703CFA">
        <w:rPr>
          <w:caps/>
        </w:rPr>
        <w:t>Moment des signatures de la convention de cotutelle</w:t>
      </w:r>
    </w:p>
    <w:p w14:paraId="415DE84B" w14:textId="1CA6E994" w:rsidR="00703CFA" w:rsidRDefault="00703CFA" w:rsidP="00665C02">
      <w:pPr>
        <w:spacing w:after="120" w:line="240" w:lineRule="auto"/>
        <w:ind w:left="284"/>
        <w:jc w:val="both"/>
      </w:pPr>
      <w:r>
        <w:t xml:space="preserve">La convention de cotutelle doit être </w:t>
      </w:r>
      <w:r w:rsidR="00665C02">
        <w:t xml:space="preserve">entièrement complétée et </w:t>
      </w:r>
      <w:r>
        <w:t xml:space="preserve">signée </w:t>
      </w:r>
      <w:r w:rsidRPr="00703CFA">
        <w:rPr>
          <w:b/>
        </w:rPr>
        <w:t>dans la première année d'inscription au doctorat</w:t>
      </w:r>
      <w:r>
        <w:t>.</w:t>
      </w:r>
    </w:p>
    <w:tbl>
      <w:tblPr>
        <w:tblStyle w:val="Grilledutableau"/>
        <w:tblW w:w="9634" w:type="dxa"/>
        <w:tblInd w:w="284" w:type="dxa"/>
        <w:shd w:val="clear" w:color="auto" w:fill="D6E3BC" w:themeFill="accent3" w:themeFillTint="66"/>
        <w:tblLook w:val="04A0" w:firstRow="1" w:lastRow="0" w:firstColumn="1" w:lastColumn="0" w:noHBand="0" w:noVBand="1"/>
      </w:tblPr>
      <w:tblGrid>
        <w:gridCol w:w="9634"/>
      </w:tblGrid>
      <w:tr w:rsidR="00690E24" w14:paraId="62C79639" w14:textId="77777777" w:rsidTr="00C86B32">
        <w:tc>
          <w:tcPr>
            <w:tcW w:w="9634" w:type="dxa"/>
            <w:shd w:val="clear" w:color="auto" w:fill="D6E3BC" w:themeFill="accent3" w:themeFillTint="66"/>
          </w:tcPr>
          <w:p w14:paraId="51E90F4D" w14:textId="63A3235A" w:rsidR="00690E24" w:rsidRDefault="00690E24" w:rsidP="00F10F89">
            <w:pPr>
              <w:pStyle w:val="Paragraphedeliste"/>
              <w:ind w:left="0"/>
              <w:contextualSpacing w:val="0"/>
              <w:jc w:val="center"/>
              <w:rPr>
                <w:b/>
                <w:caps/>
              </w:rPr>
            </w:pPr>
            <w:r w:rsidRPr="00F10F89">
              <w:rPr>
                <w:b/>
                <w:caps/>
              </w:rPr>
              <w:lastRenderedPageBreak/>
              <w:t>Informations complémentaires</w:t>
            </w:r>
          </w:p>
          <w:p w14:paraId="3DDE1C4D" w14:textId="5A28E7A4" w:rsidR="00C66A17" w:rsidRPr="001838CC" w:rsidRDefault="00C66A17" w:rsidP="001838CC">
            <w:pPr>
              <w:pStyle w:val="Paragraphedeliste"/>
              <w:numPr>
                <w:ilvl w:val="0"/>
                <w:numId w:val="14"/>
              </w:numPr>
              <w:spacing w:after="120"/>
              <w:ind w:left="286" w:hanging="283"/>
              <w:jc w:val="both"/>
              <w:rPr>
                <w:b/>
              </w:rPr>
            </w:pPr>
            <w:r w:rsidRPr="001838CC">
              <w:rPr>
                <w:b/>
              </w:rPr>
              <w:t>Démarches d’admission et d’obtention des documents légaux</w:t>
            </w:r>
          </w:p>
          <w:p w14:paraId="74FCDA41" w14:textId="6B68FC82" w:rsidR="00690E24" w:rsidRDefault="00AE3B8C" w:rsidP="00C66A17">
            <w:pPr>
              <w:pStyle w:val="Paragraphedeliste"/>
              <w:spacing w:after="120"/>
              <w:ind w:left="284"/>
              <w:contextualSpacing w:val="0"/>
              <w:jc w:val="both"/>
            </w:pPr>
            <w:r>
              <w:t>La doctorante</w:t>
            </w:r>
            <w:r w:rsidR="00690E24">
              <w:t xml:space="preserve"> ou </w:t>
            </w:r>
            <w:r>
              <w:t>le doctorant</w:t>
            </w:r>
            <w:r w:rsidR="00690E24">
              <w:t xml:space="preserve"> doit faire les démarches nécessaires pour son admission, l’obtention du </w:t>
            </w:r>
            <w:r w:rsidR="00690E24" w:rsidRPr="000367B2">
              <w:t>certificat d’acceptation du Québec (CAQ)</w:t>
            </w:r>
            <w:r w:rsidR="00690E24">
              <w:t>,</w:t>
            </w:r>
            <w:r w:rsidR="00690E24" w:rsidRPr="000367B2">
              <w:t xml:space="preserve"> d</w:t>
            </w:r>
            <w:r w:rsidR="00690E24">
              <w:t>u</w:t>
            </w:r>
            <w:r w:rsidR="00690E24" w:rsidRPr="000367B2">
              <w:t xml:space="preserve"> permis d’études </w:t>
            </w:r>
            <w:r w:rsidR="00690E24">
              <w:t xml:space="preserve">et des assurances. </w:t>
            </w:r>
            <w:r>
              <w:t>La doctorante</w:t>
            </w:r>
            <w:r w:rsidR="00690E24">
              <w:t xml:space="preserve"> ou </w:t>
            </w:r>
            <w:r>
              <w:t>le doctorant</w:t>
            </w:r>
            <w:r w:rsidR="00690E24">
              <w:t xml:space="preserve"> consulte l</w:t>
            </w:r>
            <w:r w:rsidR="00F03718">
              <w:t>a</w:t>
            </w:r>
            <w:r w:rsidR="00690E24">
              <w:t xml:space="preserve"> </w:t>
            </w:r>
            <w:r w:rsidR="00F03718">
              <w:t>page</w:t>
            </w:r>
            <w:r w:rsidR="00690E24">
              <w:t xml:space="preserve"> suivant</w:t>
            </w:r>
            <w:r w:rsidR="00F03718">
              <w:t>e</w:t>
            </w:r>
            <w:r w:rsidR="00690E24">
              <w:t xml:space="preserve"> pour tous les renseignements utiles : </w:t>
            </w:r>
            <w:hyperlink r:id="rId20" w:history="1">
              <w:r w:rsidR="00F03718" w:rsidRPr="000377AF">
                <w:rPr>
                  <w:rStyle w:val="Lienhypertexte"/>
                </w:rPr>
                <w:t>www.usherbrooke.ca/etudiants-internationaux/fr/</w:t>
              </w:r>
            </w:hyperlink>
            <w:r w:rsidR="00C66A17">
              <w:rPr>
                <w:rStyle w:val="Lienhypertexte"/>
              </w:rPr>
              <w:t>.</w:t>
            </w:r>
          </w:p>
          <w:p w14:paraId="234DF54A" w14:textId="6B76BA97" w:rsidR="00690E24" w:rsidRDefault="00690E24" w:rsidP="00C66A17">
            <w:pPr>
              <w:pStyle w:val="Paragraphedeliste"/>
              <w:spacing w:after="120"/>
              <w:ind w:left="284"/>
              <w:contextualSpacing w:val="0"/>
              <w:jc w:val="both"/>
            </w:pPr>
            <w:r>
              <w:t xml:space="preserve">L’ensemble de ces démarches peut prendre quelques mois, durée dont il faut tenir compte dans la planification de la convention de cotutelle (les </w:t>
            </w:r>
            <w:r w:rsidR="00F03718">
              <w:t>documents</w:t>
            </w:r>
            <w:r>
              <w:t xml:space="preserve"> légaux doivent être prêts au moment du premier trimestre en présence au Québec).</w:t>
            </w:r>
            <w:r w:rsidR="008111E7">
              <w:t xml:space="preserve"> Ex</w:t>
            </w:r>
            <w:r w:rsidR="008111E7">
              <w:t>ceptionnellement, la personne responsable du programme peut autoriser une arrivée après le déb</w:t>
            </w:r>
            <w:r w:rsidR="008111E7">
              <w:t>u</w:t>
            </w:r>
            <w:r w:rsidR="008111E7">
              <w:t>t d</w:t>
            </w:r>
            <w:r w:rsidR="008111E7">
              <w:t>u trimestre</w:t>
            </w:r>
            <w:r w:rsidR="008111E7">
              <w:t xml:space="preserve">, si cette arrivée tardive ne compromet pas l’avancement </w:t>
            </w:r>
            <w:r w:rsidR="001A21DA">
              <w:t>du parcours d’études</w:t>
            </w:r>
            <w:r w:rsidR="008111E7">
              <w:t xml:space="preserve"> </w:t>
            </w:r>
            <w:r w:rsidR="008111E7">
              <w:t>de la doctorante ou du doctorant.</w:t>
            </w:r>
          </w:p>
          <w:p w14:paraId="5E7EE72F" w14:textId="37B3A198" w:rsidR="001B53D7" w:rsidRDefault="001B53D7" w:rsidP="001A21DA">
            <w:pPr>
              <w:pStyle w:val="Paragraphedeliste"/>
              <w:numPr>
                <w:ilvl w:val="0"/>
                <w:numId w:val="14"/>
              </w:numPr>
              <w:spacing w:after="120"/>
              <w:ind w:left="290" w:hanging="284"/>
              <w:contextualSpacing w:val="0"/>
              <w:jc w:val="both"/>
            </w:pPr>
            <w:r>
              <w:t xml:space="preserve">Le </w:t>
            </w:r>
            <w:r w:rsidRPr="001838CC">
              <w:rPr>
                <w:b/>
              </w:rPr>
              <w:t>nom</w:t>
            </w:r>
            <w:r>
              <w:t xml:space="preserve"> de </w:t>
            </w:r>
            <w:r w:rsidR="00AE3B8C">
              <w:t>la doctorante</w:t>
            </w:r>
            <w:r>
              <w:t xml:space="preserve"> ou </w:t>
            </w:r>
            <w:r w:rsidR="00AE3B8C">
              <w:t>du doctorant</w:t>
            </w:r>
            <w:r>
              <w:t>, tel qu’il sera inscrit dans la convention, figurera sur le diplôme.</w:t>
            </w:r>
          </w:p>
          <w:p w14:paraId="1819672F" w14:textId="1A2B3FDB" w:rsidR="001B53D7" w:rsidRDefault="001B53D7" w:rsidP="001838CC">
            <w:pPr>
              <w:pStyle w:val="Paragraphedeliste"/>
              <w:numPr>
                <w:ilvl w:val="0"/>
                <w:numId w:val="14"/>
              </w:numPr>
              <w:spacing w:after="120"/>
              <w:ind w:left="284" w:hanging="284"/>
              <w:contextualSpacing w:val="0"/>
              <w:jc w:val="both"/>
            </w:pPr>
            <w:r>
              <w:t xml:space="preserve">Le </w:t>
            </w:r>
            <w:r w:rsidR="008111E7">
              <w:rPr>
                <w:b/>
              </w:rPr>
              <w:t>titre initial</w:t>
            </w:r>
            <w:r>
              <w:t xml:space="preserve"> de </w:t>
            </w:r>
            <w:r w:rsidR="008111E7">
              <w:t xml:space="preserve">la </w:t>
            </w:r>
            <w:r>
              <w:t>thèse doit être suffisamment général pour éviter d’avoir un avenant à signer à chaque fois que le titre de la thèse changera.</w:t>
            </w:r>
          </w:p>
          <w:p w14:paraId="183D0942" w14:textId="77777777" w:rsidR="001B53D7" w:rsidRPr="00C66A17" w:rsidRDefault="001B53D7" w:rsidP="001838CC">
            <w:pPr>
              <w:pStyle w:val="Paragraphedeliste"/>
              <w:numPr>
                <w:ilvl w:val="0"/>
                <w:numId w:val="14"/>
              </w:numPr>
              <w:spacing w:after="120"/>
              <w:ind w:left="284" w:hanging="284"/>
              <w:contextualSpacing w:val="0"/>
              <w:jc w:val="both"/>
              <w:rPr>
                <w:b/>
              </w:rPr>
            </w:pPr>
            <w:r w:rsidRPr="00C66A17">
              <w:rPr>
                <w:b/>
              </w:rPr>
              <w:t>Périodes prévisionnelles</w:t>
            </w:r>
          </w:p>
          <w:p w14:paraId="1534DEB4" w14:textId="28752059" w:rsidR="001B53D7" w:rsidRDefault="001838CC" w:rsidP="001838CC">
            <w:pPr>
              <w:spacing w:after="120"/>
              <w:ind w:left="712" w:hanging="426"/>
              <w:jc w:val="both"/>
            </w:pPr>
            <w:r>
              <w:t xml:space="preserve">4.1. </w:t>
            </w:r>
            <w:r w:rsidR="001B53D7">
              <w:t xml:space="preserve">Il est suggéré de prévoir une planification du cheminement (dans la convention de cotutelle de thèse) </w:t>
            </w:r>
            <w:r w:rsidR="001B53D7" w:rsidRPr="001838CC">
              <w:rPr>
                <w:b/>
              </w:rPr>
              <w:t xml:space="preserve">sur 4 </w:t>
            </w:r>
            <w:r w:rsidR="001B53D7" w:rsidRPr="00AE0254">
              <w:rPr>
                <w:b/>
              </w:rPr>
              <w:t>ans</w:t>
            </w:r>
            <w:r w:rsidR="00AE0254">
              <w:rPr>
                <w:bCs/>
              </w:rPr>
              <w:t xml:space="preserve">. </w:t>
            </w:r>
            <w:r w:rsidR="001B53D7" w:rsidRPr="00AE0254">
              <w:rPr>
                <w:bCs/>
              </w:rPr>
              <w:t>Cela</w:t>
            </w:r>
            <w:r w:rsidR="001B53D7">
              <w:t xml:space="preserve">, pour refléter davantage la durée réelle estimée des études doctorales </w:t>
            </w:r>
            <w:r w:rsidR="00AE0254">
              <w:t xml:space="preserve">à l’Université de Sherbrooke </w:t>
            </w:r>
            <w:r w:rsidR="001B53D7">
              <w:t>et pour éviter de devoir créer un avenant de convention pour prolonger la durée des études.</w:t>
            </w:r>
            <w:r w:rsidR="00C81CFE">
              <w:t xml:space="preserve"> Par ailleurs, il demeure possible pour une doctorante ou un doctorant de compléter ses études avant la fin de</w:t>
            </w:r>
            <w:r w:rsidR="00AE0254">
              <w:t xml:space="preserve"> la durée prévue</w:t>
            </w:r>
            <w:r w:rsidR="00C81CFE">
              <w:t>.</w:t>
            </w:r>
          </w:p>
          <w:p w14:paraId="00C7CD29" w14:textId="6F33C8DC" w:rsidR="00690E24" w:rsidRDefault="001838CC" w:rsidP="001838CC">
            <w:pPr>
              <w:spacing w:after="120"/>
              <w:ind w:left="712" w:hanging="426"/>
              <w:jc w:val="both"/>
            </w:pPr>
            <w:r>
              <w:t xml:space="preserve">4.2. </w:t>
            </w:r>
            <w:r w:rsidR="00690E24">
              <w:t xml:space="preserve">Un </w:t>
            </w:r>
            <w:r w:rsidR="00690E24" w:rsidRPr="001838CC">
              <w:rPr>
                <w:b/>
              </w:rPr>
              <w:t xml:space="preserve">minimum de 3 trimestres </w:t>
            </w:r>
            <w:r w:rsidR="001B53D7" w:rsidRPr="001838CC">
              <w:rPr>
                <w:b/>
              </w:rPr>
              <w:t xml:space="preserve">(4 mois chacun) </w:t>
            </w:r>
            <w:r w:rsidR="00690E24" w:rsidRPr="001838CC">
              <w:rPr>
                <w:b/>
              </w:rPr>
              <w:t>à temps complet</w:t>
            </w:r>
            <w:r w:rsidR="00690E24">
              <w:t xml:space="preserve"> dans chaque université au cours des </w:t>
            </w:r>
            <w:r w:rsidR="00AE0254">
              <w:rPr>
                <w:b/>
              </w:rPr>
              <w:t>6</w:t>
            </w:r>
            <w:r w:rsidR="00690E24" w:rsidRPr="00B27047">
              <w:rPr>
                <w:b/>
              </w:rPr>
              <w:t xml:space="preserve"> premiers trimestres</w:t>
            </w:r>
            <w:r w:rsidR="00690E24">
              <w:t xml:space="preserve"> doivent être prévus dans le cheminement (</w:t>
            </w:r>
            <w:r w:rsidR="00C66A17">
              <w:t xml:space="preserve">les </w:t>
            </w:r>
            <w:r w:rsidR="00690E24">
              <w:t>périodes prévisionnelles à indiquer dans la convention de cotutelle de thèse).</w:t>
            </w:r>
          </w:p>
          <w:p w14:paraId="6ADCFD57" w14:textId="153445D3" w:rsidR="00C66A17" w:rsidRDefault="001838CC" w:rsidP="001838CC">
            <w:pPr>
              <w:spacing w:after="120"/>
              <w:ind w:left="712" w:hanging="426"/>
              <w:jc w:val="both"/>
            </w:pPr>
            <w:r>
              <w:t xml:space="preserve">4.3. </w:t>
            </w:r>
            <w:r w:rsidR="00690E24">
              <w:t xml:space="preserve">Dans les </w:t>
            </w:r>
            <w:r w:rsidR="00690E24" w:rsidRPr="00C66A17">
              <w:t>périodes prévisionnelles</w:t>
            </w:r>
            <w:r w:rsidR="00690E24">
              <w:t xml:space="preserve"> (les X dans la planification des trimestres, dans la convention de cotutelle de thèse), il est important que </w:t>
            </w:r>
            <w:r w:rsidR="00AE3B8C">
              <w:t>la doctorante</w:t>
            </w:r>
            <w:r w:rsidR="00602886">
              <w:t xml:space="preserve"> ou </w:t>
            </w:r>
            <w:r w:rsidR="00AE3B8C">
              <w:t>le doctorant</w:t>
            </w:r>
            <w:r w:rsidR="00690E24">
              <w:t xml:space="preserve"> soit </w:t>
            </w:r>
            <w:r w:rsidR="00690E24" w:rsidRPr="001838CC">
              <w:rPr>
                <w:b/>
              </w:rPr>
              <w:t>inscrit en continu</w:t>
            </w:r>
            <w:r w:rsidR="00690E24">
              <w:t xml:space="preserve"> dans </w:t>
            </w:r>
            <w:r w:rsidR="00B547E3">
              <w:t>les deux</w:t>
            </w:r>
            <w:r w:rsidR="00690E24">
              <w:t xml:space="preserve"> universités</w:t>
            </w:r>
            <w:r w:rsidR="00C66A17">
              <w:t xml:space="preserve"> (aucun mois n’est laissé </w:t>
            </w:r>
            <w:proofErr w:type="spellStart"/>
            <w:r w:rsidR="00C66A17">
              <w:t>vide</w:t>
            </w:r>
            <w:proofErr w:type="spellEnd"/>
            <w:r w:rsidR="00C66A17">
              <w:t>).</w:t>
            </w:r>
          </w:p>
          <w:p w14:paraId="2DA28EED" w14:textId="14F9774A" w:rsidR="0055583A" w:rsidRDefault="001838CC" w:rsidP="001838CC">
            <w:pPr>
              <w:spacing w:after="120"/>
              <w:ind w:left="712" w:hanging="426"/>
              <w:jc w:val="both"/>
            </w:pPr>
            <w:r>
              <w:t xml:space="preserve">4.4. </w:t>
            </w:r>
            <w:r w:rsidR="00C66A17">
              <w:t>L</w:t>
            </w:r>
            <w:r w:rsidR="00690E24">
              <w:t xml:space="preserve">e dernier X </w:t>
            </w:r>
            <w:r w:rsidR="00C66A17">
              <w:t xml:space="preserve">doit </w:t>
            </w:r>
            <w:r w:rsidR="00690E24">
              <w:t>correspond</w:t>
            </w:r>
            <w:r w:rsidR="00C66A17">
              <w:t>r</w:t>
            </w:r>
            <w:r w:rsidR="00690E24">
              <w:t xml:space="preserve">e au trimestre </w:t>
            </w:r>
            <w:r w:rsidR="00690E24" w:rsidRPr="001838CC">
              <w:rPr>
                <w:b/>
              </w:rPr>
              <w:t>qui suit</w:t>
            </w:r>
            <w:r w:rsidR="00690E24">
              <w:t xml:space="preserve"> la soutenance (mois, année), afin de prévoir le temps requis pour</w:t>
            </w:r>
            <w:r w:rsidR="009B5208">
              <w:t xml:space="preserve"> toute éventuelle révision avant le dépôt final</w:t>
            </w:r>
            <w:r w:rsidR="00690E24">
              <w:t>.</w:t>
            </w:r>
          </w:p>
          <w:p w14:paraId="0090C5C7" w14:textId="47B60B9D" w:rsidR="00690E24" w:rsidRDefault="001838CC" w:rsidP="001838CC">
            <w:pPr>
              <w:spacing w:after="120"/>
              <w:ind w:left="712" w:hanging="426"/>
              <w:jc w:val="both"/>
            </w:pPr>
            <w:r>
              <w:t xml:space="preserve">4.5. </w:t>
            </w:r>
            <w:r w:rsidR="00AE3B8C">
              <w:t>La doctorante</w:t>
            </w:r>
            <w:r w:rsidR="0055583A">
              <w:t xml:space="preserve"> ou </w:t>
            </w:r>
            <w:r w:rsidR="00AE3B8C">
              <w:t>le doctorant</w:t>
            </w:r>
            <w:r w:rsidR="0055583A">
              <w:t xml:space="preserve"> doit être présent </w:t>
            </w:r>
            <w:r w:rsidR="0055583A" w:rsidRPr="001838CC">
              <w:rPr>
                <w:b/>
              </w:rPr>
              <w:t>toute la durée d’un trimestre</w:t>
            </w:r>
            <w:r w:rsidR="0055583A">
              <w:t xml:space="preserve"> </w:t>
            </w:r>
            <w:r w:rsidR="00C66A17">
              <w:t xml:space="preserve">(de janvier à avril/de mai à aout/de septembre à décembre) </w:t>
            </w:r>
            <w:r w:rsidR="0055583A">
              <w:t xml:space="preserve">dans un établissement ou l’autre, sans quoi elle ou il devra débourser les frais d’inscription dans les deux établissements pour </w:t>
            </w:r>
            <w:r w:rsidR="00C66A17">
              <w:t xml:space="preserve">un </w:t>
            </w:r>
            <w:r w:rsidR="0055583A">
              <w:t>même trimestre</w:t>
            </w:r>
            <w:r w:rsidR="007B03B5">
              <w:t>. P</w:t>
            </w:r>
            <w:r w:rsidR="00C66A17">
              <w:t xml:space="preserve">ar exemple, si </w:t>
            </w:r>
            <w:r w:rsidR="00AE3B8C">
              <w:t>la doctorante</w:t>
            </w:r>
            <w:r w:rsidR="00C66A17">
              <w:t xml:space="preserve"> ou </w:t>
            </w:r>
            <w:r w:rsidR="00AE3B8C">
              <w:t>le doctorant</w:t>
            </w:r>
            <w:r w:rsidR="00C66A17">
              <w:t xml:space="preserve"> est présent en janvier et février dans une université et en mars et en avril dans l’autre université, elle ou il devra s’inscrire et payer les frais, pour le même trimestre, dans les deux établissements</w:t>
            </w:r>
            <w:r w:rsidR="0055583A">
              <w:t>.</w:t>
            </w:r>
          </w:p>
          <w:p w14:paraId="493B3C89" w14:textId="0D26A90C" w:rsidR="008221C3" w:rsidRPr="008221C3" w:rsidRDefault="008221C3" w:rsidP="001838CC">
            <w:pPr>
              <w:pStyle w:val="Paragraphedeliste"/>
              <w:numPr>
                <w:ilvl w:val="0"/>
                <w:numId w:val="14"/>
              </w:numPr>
              <w:spacing w:after="120"/>
              <w:ind w:left="284" w:hanging="284"/>
              <w:contextualSpacing w:val="0"/>
              <w:jc w:val="both"/>
              <w:rPr>
                <w:b/>
              </w:rPr>
            </w:pPr>
            <w:r w:rsidRPr="008221C3">
              <w:rPr>
                <w:b/>
              </w:rPr>
              <w:t>Activités pédagogiques suivies dans les deux établissements universitaires</w:t>
            </w:r>
          </w:p>
          <w:p w14:paraId="1F2FE18A" w14:textId="6DF78791" w:rsidR="008221C3" w:rsidRDefault="008221C3" w:rsidP="008221C3">
            <w:pPr>
              <w:pStyle w:val="Paragraphedeliste"/>
              <w:spacing w:after="120"/>
              <w:ind w:left="284"/>
              <w:contextualSpacing w:val="0"/>
              <w:jc w:val="both"/>
            </w:pPr>
            <w:r>
              <w:t>L</w:t>
            </w:r>
            <w:r w:rsidRPr="008221C3">
              <w:t>a moitié de la formation (45 crédits) doit être complétée à l’UdeS et la moitié (l’équivalent des autres 45 crédits) dans l’université partenaire.</w:t>
            </w:r>
          </w:p>
          <w:p w14:paraId="4A35A1B9" w14:textId="20F7CD64" w:rsidR="008221C3" w:rsidRDefault="008221C3" w:rsidP="008221C3">
            <w:pPr>
              <w:pStyle w:val="Paragraphedeliste"/>
              <w:spacing w:after="120"/>
              <w:ind w:left="284"/>
              <w:jc w:val="both"/>
            </w:pPr>
            <w:r>
              <w:t xml:space="preserve">Une planification possible serait que </w:t>
            </w:r>
            <w:r w:rsidR="00321D85">
              <w:t xml:space="preserve">la doctorante ou </w:t>
            </w:r>
            <w:r w:rsidR="00AE3B8C">
              <w:t>le doctorant</w:t>
            </w:r>
            <w:r>
              <w:t xml:space="preserve"> </w:t>
            </w:r>
            <w:r w:rsidR="00321D85">
              <w:t>réalise</w:t>
            </w:r>
            <w:r>
              <w:t xml:space="preserve"> les activités suivantes à l’UdeS : </w:t>
            </w:r>
          </w:p>
          <w:p w14:paraId="068A051C" w14:textId="77777777" w:rsidR="008221C3" w:rsidRDefault="008221C3" w:rsidP="008221C3">
            <w:pPr>
              <w:pStyle w:val="Paragraphedeliste"/>
              <w:spacing w:after="120"/>
              <w:ind w:left="284"/>
              <w:jc w:val="both"/>
            </w:pPr>
            <w:r>
              <w:t xml:space="preserve">EDU901 </w:t>
            </w:r>
            <w:r w:rsidRPr="008221C3">
              <w:rPr>
                <w:i/>
              </w:rPr>
              <w:t>Méthodologie de la recherche</w:t>
            </w:r>
            <w:r>
              <w:t xml:space="preserve"> (3 crédits)</w:t>
            </w:r>
          </w:p>
          <w:p w14:paraId="77F2C0E9" w14:textId="67B90EBC" w:rsidR="008221C3" w:rsidRDefault="002D6CDB" w:rsidP="008221C3">
            <w:pPr>
              <w:pStyle w:val="Paragraphedeliste"/>
              <w:spacing w:after="120"/>
              <w:ind w:left="284"/>
              <w:jc w:val="both"/>
            </w:pPr>
            <w:r>
              <w:t>Deux</w:t>
            </w:r>
            <w:r w:rsidR="008221C3">
              <w:t xml:space="preserve"> </w:t>
            </w:r>
            <w:r w:rsidR="00321D85">
              <w:t>activités tutorales (travaux</w:t>
            </w:r>
            <w:r w:rsidR="008221C3">
              <w:t xml:space="preserve"> dirigés</w:t>
            </w:r>
            <w:r w:rsidR="00321D85">
              <w:t>)</w:t>
            </w:r>
            <w:r w:rsidR="008221C3">
              <w:t xml:space="preserve"> (EDU913 et EDU914) (2 X 3 </w:t>
            </w:r>
            <w:r w:rsidR="00321D85">
              <w:t xml:space="preserve">crédits </w:t>
            </w:r>
            <w:r w:rsidR="008221C3">
              <w:t>= 6 crédits)</w:t>
            </w:r>
          </w:p>
          <w:p w14:paraId="36DF9E43" w14:textId="77777777" w:rsidR="008221C3" w:rsidRDefault="008221C3" w:rsidP="008221C3">
            <w:pPr>
              <w:pStyle w:val="Paragraphedeliste"/>
              <w:spacing w:after="120"/>
              <w:ind w:left="284"/>
              <w:jc w:val="both"/>
            </w:pPr>
            <w:r>
              <w:t xml:space="preserve">EDU906 </w:t>
            </w:r>
            <w:r w:rsidRPr="008221C3">
              <w:rPr>
                <w:i/>
              </w:rPr>
              <w:t>Examen de synthèse</w:t>
            </w:r>
            <w:r>
              <w:t xml:space="preserve"> (6 crédits)</w:t>
            </w:r>
          </w:p>
          <w:p w14:paraId="3BC72E4E" w14:textId="77777777" w:rsidR="008221C3" w:rsidRDefault="008221C3" w:rsidP="008221C3">
            <w:pPr>
              <w:pStyle w:val="Paragraphedeliste"/>
              <w:spacing w:after="120"/>
              <w:ind w:left="284"/>
              <w:jc w:val="both"/>
            </w:pPr>
            <w:r>
              <w:t xml:space="preserve">EDU907 </w:t>
            </w:r>
            <w:r w:rsidRPr="008221C3">
              <w:rPr>
                <w:i/>
              </w:rPr>
              <w:t>Dépôt et soutenance du projet de recherche</w:t>
            </w:r>
            <w:r>
              <w:t xml:space="preserve"> (18 crédits)</w:t>
            </w:r>
          </w:p>
          <w:p w14:paraId="6348487D" w14:textId="77777777" w:rsidR="008221C3" w:rsidRDefault="008221C3" w:rsidP="008221C3">
            <w:pPr>
              <w:pStyle w:val="Paragraphedeliste"/>
              <w:spacing w:after="120"/>
              <w:ind w:left="284"/>
              <w:jc w:val="both"/>
            </w:pPr>
            <w:r>
              <w:t xml:space="preserve">EDU908 </w:t>
            </w:r>
            <w:r w:rsidRPr="008221C3">
              <w:rPr>
                <w:i/>
              </w:rPr>
              <w:t>Bilan d’étape</w:t>
            </w:r>
            <w:r>
              <w:t xml:space="preserve"> (12 crédits)</w:t>
            </w:r>
          </w:p>
          <w:p w14:paraId="4C18BE76" w14:textId="6711E1AA" w:rsidR="008221C3" w:rsidRPr="006F7D92" w:rsidRDefault="008221C3" w:rsidP="008221C3">
            <w:pPr>
              <w:pStyle w:val="Paragraphedeliste"/>
              <w:spacing w:after="120"/>
              <w:ind w:left="284"/>
              <w:contextualSpacing w:val="0"/>
              <w:jc w:val="both"/>
              <w:rPr>
                <w:sz w:val="18"/>
                <w:szCs w:val="18"/>
              </w:rPr>
            </w:pPr>
            <w:r w:rsidRPr="006F7D92">
              <w:rPr>
                <w:sz w:val="18"/>
                <w:szCs w:val="18"/>
              </w:rPr>
              <w:t>TOTAL : 45 crédits</w:t>
            </w:r>
          </w:p>
          <w:p w14:paraId="2BE26017" w14:textId="0B8846BD" w:rsidR="008221C3" w:rsidRDefault="008221C3" w:rsidP="00750A57">
            <w:pPr>
              <w:pStyle w:val="Paragraphedeliste"/>
              <w:spacing w:after="120"/>
              <w:ind w:left="0"/>
              <w:contextualSpacing w:val="0"/>
              <w:jc w:val="both"/>
            </w:pPr>
            <w:r w:rsidRPr="008221C3">
              <w:t>Dans la convention, les équivalences pour toutes les activités pédagogiques effectuées dans l’un et l’autre des établissements universitaires</w:t>
            </w:r>
            <w:r>
              <w:t xml:space="preserve"> doivent être indiquées</w:t>
            </w:r>
            <w:r w:rsidRPr="008221C3">
              <w:t>.</w:t>
            </w:r>
            <w:r>
              <w:t xml:space="preserve"> À</w:t>
            </w:r>
            <w:r w:rsidRPr="008221C3">
              <w:t xml:space="preserve"> chaque trimestre, </w:t>
            </w:r>
            <w:r>
              <w:t>le programme</w:t>
            </w:r>
            <w:r w:rsidRPr="008221C3">
              <w:t xml:space="preserve"> doit inscrire </w:t>
            </w:r>
            <w:r w:rsidR="00AE3B8C">
              <w:t>la doctorante</w:t>
            </w:r>
            <w:r>
              <w:t xml:space="preserve"> ou </w:t>
            </w:r>
            <w:r w:rsidR="00AE3B8C">
              <w:t>le doctorant</w:t>
            </w:r>
            <w:r w:rsidRPr="008221C3">
              <w:t xml:space="preserve"> aux activités pédagogiques </w:t>
            </w:r>
            <w:r w:rsidRPr="008221C3">
              <w:rPr>
                <w:b/>
              </w:rPr>
              <w:t>qu’il suit à l’UdeS</w:t>
            </w:r>
            <w:r w:rsidRPr="008221C3">
              <w:t xml:space="preserve"> (s’il est prévu qu’il soit au Québec pour </w:t>
            </w:r>
            <w:r>
              <w:t>ce</w:t>
            </w:r>
            <w:r w:rsidRPr="008221C3">
              <w:t xml:space="preserve"> trimestre) </w:t>
            </w:r>
            <w:r w:rsidRPr="008221C3">
              <w:rPr>
                <w:b/>
              </w:rPr>
              <w:t xml:space="preserve">ou qui sont équivalentes aux activités pédagogiques qu’il suit dans l’établissement partenaire </w:t>
            </w:r>
            <w:r w:rsidRPr="008221C3">
              <w:t xml:space="preserve">pendant ce trimestre. </w:t>
            </w:r>
          </w:p>
          <w:p w14:paraId="06344DFE" w14:textId="3EB945F1" w:rsidR="00A6394A" w:rsidRDefault="00A6394A" w:rsidP="00A6394A">
            <w:pPr>
              <w:rPr>
                <w:color w:val="1F497D"/>
              </w:rPr>
            </w:pPr>
            <w:r w:rsidRPr="0098107F">
              <w:rPr>
                <w:b/>
                <w:bCs/>
                <w:u w:val="single"/>
              </w:rPr>
              <w:t>Voici un exemple</w:t>
            </w:r>
            <w:r w:rsidRPr="0098107F">
              <w:t xml:space="preserve"> (</w:t>
            </w:r>
            <w:r w:rsidRPr="0098107F">
              <w:rPr>
                <w:b/>
                <w:color w:val="C00000"/>
              </w:rPr>
              <w:t>en rouge</w:t>
            </w:r>
            <w:r w:rsidRPr="0098107F">
              <w:t xml:space="preserve">, les activités que </w:t>
            </w:r>
            <w:r w:rsidR="00AE3B8C">
              <w:t>la doctorante</w:t>
            </w:r>
            <w:r w:rsidR="0098107F">
              <w:t xml:space="preserve"> ou </w:t>
            </w:r>
            <w:r w:rsidR="00AE3B8C">
              <w:t>le doctorant</w:t>
            </w:r>
            <w:r w:rsidRPr="0098107F">
              <w:t xml:space="preserve"> suivrait dans chaque établissement (donc physiquement présent à cet endroit à ce moment); </w:t>
            </w:r>
            <w:r w:rsidRPr="00912D78">
              <w:rPr>
                <w:b/>
                <w:bCs/>
              </w:rPr>
              <w:t>l’ordre et le trimestre sont à déterminer</w:t>
            </w:r>
            <w:r w:rsidRPr="0098107F">
              <w:t xml:space="preserve"> en concertation entre les</w:t>
            </w:r>
            <w:r w:rsidR="002D6CDB">
              <w:t xml:space="preserve"> membres de l’équipe de direction</w:t>
            </w:r>
            <w:r w:rsidRPr="0098107F">
              <w:t xml:space="preserve"> et l</w:t>
            </w:r>
            <w:r w:rsidR="0098107F">
              <w:t>a doctorante ou l</w:t>
            </w:r>
            <w:r w:rsidRPr="0098107F">
              <w:t xml:space="preserve">e doctorant) : </w:t>
            </w:r>
          </w:p>
          <w:tbl>
            <w:tblPr>
              <w:tblW w:w="0" w:type="auto"/>
              <w:tblCellMar>
                <w:left w:w="0" w:type="dxa"/>
                <w:right w:w="0" w:type="dxa"/>
              </w:tblCellMar>
              <w:tblLook w:val="04A0" w:firstRow="1" w:lastRow="0" w:firstColumn="1" w:lastColumn="0" w:noHBand="0" w:noVBand="1"/>
            </w:tblPr>
            <w:tblGrid>
              <w:gridCol w:w="3955"/>
              <w:gridCol w:w="972"/>
              <w:gridCol w:w="3647"/>
              <w:gridCol w:w="824"/>
            </w:tblGrid>
            <w:tr w:rsidR="00750A57" w14:paraId="0CD771A2" w14:textId="43806B5C" w:rsidTr="00C86B32">
              <w:tc>
                <w:tcPr>
                  <w:tcW w:w="4001" w:type="dxa"/>
                  <w:tcBorders>
                    <w:top w:val="single" w:sz="8" w:space="0" w:color="auto"/>
                    <w:left w:val="single" w:sz="8" w:space="0" w:color="auto"/>
                    <w:bottom w:val="single" w:sz="18" w:space="0" w:color="auto"/>
                    <w:right w:val="single" w:sz="8" w:space="0" w:color="auto"/>
                  </w:tcBorders>
                  <w:shd w:val="clear" w:color="auto" w:fill="BFBFBF"/>
                  <w:tcMar>
                    <w:top w:w="0" w:type="dxa"/>
                    <w:left w:w="108" w:type="dxa"/>
                    <w:bottom w:w="0" w:type="dxa"/>
                    <w:right w:w="108" w:type="dxa"/>
                  </w:tcMar>
                  <w:hideMark/>
                </w:tcPr>
                <w:p w14:paraId="1FA0C658" w14:textId="77777777" w:rsidR="007D2E64" w:rsidRPr="00A6394A" w:rsidRDefault="007D2E64" w:rsidP="00A6394A">
                  <w:pPr>
                    <w:spacing w:after="0" w:line="240" w:lineRule="auto"/>
                    <w:contextualSpacing/>
                    <w:jc w:val="center"/>
                    <w:rPr>
                      <w:b/>
                      <w:bCs/>
                      <w:color w:val="1F497D"/>
                      <w:sz w:val="20"/>
                    </w:rPr>
                  </w:pPr>
                  <w:r w:rsidRPr="00A6394A">
                    <w:rPr>
                      <w:b/>
                      <w:bCs/>
                      <w:color w:val="1F497D"/>
                      <w:sz w:val="20"/>
                    </w:rPr>
                    <w:t>Activités de l’</w:t>
                  </w:r>
                  <w:proofErr w:type="spellStart"/>
                  <w:r w:rsidRPr="00A6394A">
                    <w:rPr>
                      <w:b/>
                      <w:bCs/>
                      <w:color w:val="1F497D"/>
                      <w:sz w:val="20"/>
                    </w:rPr>
                    <w:t>UdeS</w:t>
                  </w:r>
                  <w:proofErr w:type="spellEnd"/>
                </w:p>
              </w:tc>
              <w:tc>
                <w:tcPr>
                  <w:tcW w:w="975" w:type="dxa"/>
                  <w:tcBorders>
                    <w:top w:val="single" w:sz="8" w:space="0" w:color="auto"/>
                    <w:left w:val="nil"/>
                    <w:bottom w:val="single" w:sz="18" w:space="0" w:color="auto"/>
                    <w:right w:val="single" w:sz="4" w:space="0" w:color="auto"/>
                  </w:tcBorders>
                  <w:shd w:val="clear" w:color="auto" w:fill="92CDDC" w:themeFill="accent5" w:themeFillTint="99"/>
                </w:tcPr>
                <w:p w14:paraId="6F0062FC" w14:textId="2A0ADFBA" w:rsidR="007D2E64" w:rsidRPr="00A6394A" w:rsidRDefault="007D2E64" w:rsidP="00A6394A">
                  <w:pPr>
                    <w:spacing w:after="0" w:line="240" w:lineRule="auto"/>
                    <w:contextualSpacing/>
                    <w:jc w:val="center"/>
                    <w:rPr>
                      <w:b/>
                      <w:bCs/>
                      <w:color w:val="1F497D"/>
                      <w:sz w:val="20"/>
                    </w:rPr>
                  </w:pPr>
                  <w:r>
                    <w:rPr>
                      <w:b/>
                      <w:bCs/>
                      <w:color w:val="1F497D"/>
                      <w:sz w:val="20"/>
                    </w:rPr>
                    <w:t>Trimestre</w:t>
                  </w:r>
                </w:p>
              </w:tc>
              <w:tc>
                <w:tcPr>
                  <w:tcW w:w="3686" w:type="dxa"/>
                  <w:tcBorders>
                    <w:top w:val="single" w:sz="8" w:space="0" w:color="auto"/>
                    <w:left w:val="single" w:sz="4" w:space="0" w:color="auto"/>
                    <w:bottom w:val="single" w:sz="18" w:space="0" w:color="auto"/>
                    <w:right w:val="single" w:sz="8" w:space="0" w:color="auto"/>
                  </w:tcBorders>
                  <w:shd w:val="clear" w:color="auto" w:fill="BFBFBF"/>
                  <w:tcMar>
                    <w:top w:w="0" w:type="dxa"/>
                    <w:left w:w="108" w:type="dxa"/>
                    <w:bottom w:w="0" w:type="dxa"/>
                    <w:right w:w="108" w:type="dxa"/>
                  </w:tcMar>
                  <w:hideMark/>
                </w:tcPr>
                <w:p w14:paraId="75E5D2DD" w14:textId="2FC9E26E" w:rsidR="007D2E64" w:rsidRPr="00A6394A" w:rsidRDefault="007D2E64" w:rsidP="00A6394A">
                  <w:pPr>
                    <w:spacing w:after="0" w:line="240" w:lineRule="auto"/>
                    <w:contextualSpacing/>
                    <w:jc w:val="center"/>
                    <w:rPr>
                      <w:b/>
                      <w:bCs/>
                      <w:color w:val="1F497D"/>
                      <w:sz w:val="20"/>
                    </w:rPr>
                  </w:pPr>
                  <w:r w:rsidRPr="00A6394A">
                    <w:rPr>
                      <w:b/>
                      <w:bCs/>
                      <w:color w:val="1F497D"/>
                      <w:sz w:val="20"/>
                    </w:rPr>
                    <w:t>Activités de l’établissement partenaire</w:t>
                  </w:r>
                </w:p>
              </w:tc>
              <w:tc>
                <w:tcPr>
                  <w:tcW w:w="709" w:type="dxa"/>
                  <w:tcBorders>
                    <w:top w:val="single" w:sz="8" w:space="0" w:color="auto"/>
                    <w:left w:val="single" w:sz="4" w:space="0" w:color="auto"/>
                    <w:bottom w:val="single" w:sz="18" w:space="0" w:color="auto"/>
                    <w:right w:val="single" w:sz="8" w:space="0" w:color="auto"/>
                  </w:tcBorders>
                  <w:shd w:val="clear" w:color="auto" w:fill="92CDDC" w:themeFill="accent5" w:themeFillTint="99"/>
                </w:tcPr>
                <w:p w14:paraId="30A39345" w14:textId="6972963E" w:rsidR="007D2E64" w:rsidRPr="00A6394A" w:rsidRDefault="007D2E64" w:rsidP="00A6394A">
                  <w:pPr>
                    <w:spacing w:after="0" w:line="240" w:lineRule="auto"/>
                    <w:contextualSpacing/>
                    <w:jc w:val="center"/>
                    <w:rPr>
                      <w:b/>
                      <w:bCs/>
                      <w:color w:val="1F497D"/>
                      <w:sz w:val="20"/>
                    </w:rPr>
                  </w:pPr>
                  <w:r>
                    <w:rPr>
                      <w:b/>
                      <w:bCs/>
                      <w:color w:val="1F497D"/>
                      <w:sz w:val="20"/>
                    </w:rPr>
                    <w:t>Trimestre</w:t>
                  </w:r>
                </w:p>
              </w:tc>
            </w:tr>
            <w:tr w:rsidR="00750A57" w14:paraId="794DDAF7" w14:textId="0E5598A8" w:rsidTr="00C86B32">
              <w:tc>
                <w:tcPr>
                  <w:tcW w:w="4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EE368C" w14:textId="60188DE1" w:rsidR="007D2E64" w:rsidRPr="0098107F" w:rsidRDefault="007D2E64" w:rsidP="00A6394A">
                  <w:pPr>
                    <w:spacing w:after="0" w:line="240" w:lineRule="auto"/>
                    <w:contextualSpacing/>
                    <w:rPr>
                      <w:b/>
                      <w:color w:val="1F497D"/>
                      <w:sz w:val="20"/>
                    </w:rPr>
                  </w:pPr>
                  <w:r w:rsidRPr="0098107F">
                    <w:rPr>
                      <w:b/>
                      <w:color w:val="C00000"/>
                      <w:sz w:val="20"/>
                    </w:rPr>
                    <w:t xml:space="preserve">EDU901 </w:t>
                  </w:r>
                  <w:r w:rsidRPr="0098107F">
                    <w:rPr>
                      <w:b/>
                      <w:i/>
                      <w:color w:val="C00000"/>
                      <w:sz w:val="20"/>
                    </w:rPr>
                    <w:t>Méthodologie de la recherche</w:t>
                  </w:r>
                  <w:r w:rsidRPr="0098107F">
                    <w:rPr>
                      <w:b/>
                      <w:color w:val="C00000"/>
                      <w:sz w:val="20"/>
                    </w:rPr>
                    <w:t xml:space="preserve"> (3 </w:t>
                  </w:r>
                  <w:proofErr w:type="spellStart"/>
                  <w:r w:rsidRPr="0098107F">
                    <w:rPr>
                      <w:b/>
                      <w:color w:val="C00000"/>
                      <w:sz w:val="20"/>
                    </w:rPr>
                    <w:t>cr</w:t>
                  </w:r>
                  <w:proofErr w:type="spellEnd"/>
                  <w:r w:rsidRPr="0098107F">
                    <w:rPr>
                      <w:b/>
                      <w:color w:val="C00000"/>
                      <w:sz w:val="20"/>
                    </w:rPr>
                    <w:t>.)</w:t>
                  </w:r>
                </w:p>
              </w:tc>
              <w:tc>
                <w:tcPr>
                  <w:tcW w:w="975" w:type="dxa"/>
                  <w:tcBorders>
                    <w:top w:val="nil"/>
                    <w:left w:val="nil"/>
                    <w:bottom w:val="single" w:sz="8" w:space="0" w:color="auto"/>
                    <w:right w:val="single" w:sz="4" w:space="0" w:color="auto"/>
                  </w:tcBorders>
                </w:tcPr>
                <w:p w14:paraId="11A0F29B" w14:textId="0A8D80BF" w:rsidR="007D2E64" w:rsidRPr="00A6394A" w:rsidRDefault="007D2E64" w:rsidP="007D2E64">
                  <w:pPr>
                    <w:spacing w:after="0" w:line="240" w:lineRule="auto"/>
                    <w:contextualSpacing/>
                    <w:jc w:val="center"/>
                    <w:rPr>
                      <w:color w:val="1F497D"/>
                      <w:sz w:val="20"/>
                    </w:rPr>
                  </w:pPr>
                  <w:r>
                    <w:rPr>
                      <w:color w:val="1F497D"/>
                      <w:sz w:val="20"/>
                    </w:rPr>
                    <w:t xml:space="preserve">Préciser </w:t>
                  </w:r>
                </w:p>
              </w:tc>
              <w:tc>
                <w:tcPr>
                  <w:tcW w:w="3686" w:type="dxa"/>
                  <w:tcBorders>
                    <w:top w:val="nil"/>
                    <w:left w:val="single" w:sz="4"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14:paraId="5BAF90AB" w14:textId="6A211946" w:rsidR="007D2E64" w:rsidRPr="00A6394A" w:rsidRDefault="007D2E64" w:rsidP="00A6394A">
                  <w:pPr>
                    <w:spacing w:after="0" w:line="240" w:lineRule="auto"/>
                    <w:contextualSpacing/>
                    <w:rPr>
                      <w:color w:val="1F497D"/>
                      <w:sz w:val="20"/>
                    </w:rPr>
                  </w:pPr>
                </w:p>
              </w:tc>
              <w:tc>
                <w:tcPr>
                  <w:tcW w:w="709" w:type="dxa"/>
                  <w:tcBorders>
                    <w:top w:val="nil"/>
                    <w:left w:val="single" w:sz="4" w:space="0" w:color="auto"/>
                    <w:bottom w:val="single" w:sz="8" w:space="0" w:color="auto"/>
                    <w:right w:val="single" w:sz="8" w:space="0" w:color="auto"/>
                  </w:tcBorders>
                  <w:shd w:val="clear" w:color="auto" w:fill="A6A6A6" w:themeFill="background1" w:themeFillShade="A6"/>
                </w:tcPr>
                <w:p w14:paraId="04CE2FAA" w14:textId="77777777" w:rsidR="007D2E64" w:rsidRPr="00A6394A" w:rsidRDefault="007D2E64" w:rsidP="007D2E64">
                  <w:pPr>
                    <w:spacing w:after="0" w:line="240" w:lineRule="auto"/>
                    <w:contextualSpacing/>
                    <w:jc w:val="center"/>
                    <w:rPr>
                      <w:color w:val="1F497D"/>
                      <w:sz w:val="20"/>
                    </w:rPr>
                  </w:pPr>
                </w:p>
              </w:tc>
            </w:tr>
            <w:tr w:rsidR="00750A57" w14:paraId="64EA5B4D" w14:textId="75073CEF" w:rsidTr="00C86B32">
              <w:tc>
                <w:tcPr>
                  <w:tcW w:w="4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636AF" w14:textId="46A6186D" w:rsidR="007D2E64" w:rsidRPr="00A6394A" w:rsidRDefault="007D2E64" w:rsidP="00A6394A">
                  <w:pPr>
                    <w:spacing w:after="0" w:line="240" w:lineRule="auto"/>
                    <w:contextualSpacing/>
                    <w:rPr>
                      <w:color w:val="1F497D"/>
                      <w:sz w:val="20"/>
                    </w:rPr>
                  </w:pPr>
                  <w:r w:rsidRPr="00A6394A">
                    <w:rPr>
                      <w:color w:val="1F497D"/>
                      <w:sz w:val="20"/>
                    </w:rPr>
                    <w:t xml:space="preserve">EDU904 </w:t>
                  </w:r>
                  <w:r w:rsidRPr="00A6394A">
                    <w:rPr>
                      <w:i/>
                      <w:color w:val="1F497D"/>
                      <w:sz w:val="20"/>
                    </w:rPr>
                    <w:t>Séminaire de recherche</w:t>
                  </w:r>
                  <w:r w:rsidRPr="00A6394A">
                    <w:rPr>
                      <w:color w:val="1F497D"/>
                      <w:sz w:val="20"/>
                    </w:rPr>
                    <w:t xml:space="preserve"> (3 </w:t>
                  </w:r>
                  <w:proofErr w:type="spellStart"/>
                  <w:r w:rsidRPr="00A6394A">
                    <w:rPr>
                      <w:color w:val="1F497D"/>
                      <w:sz w:val="20"/>
                    </w:rPr>
                    <w:t>cr</w:t>
                  </w:r>
                  <w:proofErr w:type="spellEnd"/>
                  <w:r>
                    <w:rPr>
                      <w:color w:val="1F497D"/>
                      <w:sz w:val="20"/>
                    </w:rPr>
                    <w:t>.</w:t>
                  </w:r>
                  <w:r w:rsidRPr="00A6394A">
                    <w:rPr>
                      <w:color w:val="1F497D"/>
                      <w:sz w:val="20"/>
                    </w:rPr>
                    <w:t>)</w:t>
                  </w:r>
                </w:p>
              </w:tc>
              <w:tc>
                <w:tcPr>
                  <w:tcW w:w="975" w:type="dxa"/>
                  <w:tcBorders>
                    <w:top w:val="nil"/>
                    <w:left w:val="nil"/>
                    <w:bottom w:val="single" w:sz="8" w:space="0" w:color="auto"/>
                    <w:right w:val="single" w:sz="4" w:space="0" w:color="auto"/>
                  </w:tcBorders>
                  <w:shd w:val="clear" w:color="auto" w:fill="A6A6A6" w:themeFill="background1" w:themeFillShade="A6"/>
                </w:tcPr>
                <w:p w14:paraId="05A47DBA" w14:textId="77777777" w:rsidR="007D2E64" w:rsidRPr="0098107F" w:rsidRDefault="007D2E64" w:rsidP="007D2E64">
                  <w:pPr>
                    <w:spacing w:after="0" w:line="240" w:lineRule="auto"/>
                    <w:contextualSpacing/>
                    <w:jc w:val="center"/>
                    <w:rPr>
                      <w:b/>
                      <w:color w:val="C00000"/>
                      <w:sz w:val="20"/>
                    </w:rPr>
                  </w:pPr>
                </w:p>
              </w:tc>
              <w:tc>
                <w:tcPr>
                  <w:tcW w:w="368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6FCA247" w14:textId="12D38DC4" w:rsidR="007D2E64" w:rsidRPr="0098107F" w:rsidRDefault="007D2E64" w:rsidP="00A6394A">
                  <w:pPr>
                    <w:spacing w:after="0" w:line="240" w:lineRule="auto"/>
                    <w:contextualSpacing/>
                    <w:rPr>
                      <w:b/>
                      <w:color w:val="1F497D"/>
                      <w:sz w:val="20"/>
                    </w:rPr>
                  </w:pPr>
                </w:p>
              </w:tc>
              <w:tc>
                <w:tcPr>
                  <w:tcW w:w="709" w:type="dxa"/>
                  <w:tcBorders>
                    <w:top w:val="nil"/>
                    <w:left w:val="single" w:sz="4" w:space="0" w:color="auto"/>
                    <w:bottom w:val="single" w:sz="8" w:space="0" w:color="auto"/>
                    <w:right w:val="single" w:sz="8" w:space="0" w:color="auto"/>
                  </w:tcBorders>
                </w:tcPr>
                <w:p w14:paraId="31B99529" w14:textId="1359BD5C" w:rsidR="007D2E64" w:rsidRPr="0098107F" w:rsidRDefault="007D2E64" w:rsidP="007D2E64">
                  <w:pPr>
                    <w:spacing w:after="0" w:line="240" w:lineRule="auto"/>
                    <w:contextualSpacing/>
                    <w:jc w:val="center"/>
                    <w:rPr>
                      <w:b/>
                      <w:color w:val="C00000"/>
                      <w:sz w:val="20"/>
                    </w:rPr>
                  </w:pPr>
                  <w:r>
                    <w:rPr>
                      <w:color w:val="1F497D"/>
                      <w:sz w:val="20"/>
                    </w:rPr>
                    <w:t>Préciser</w:t>
                  </w:r>
                </w:p>
              </w:tc>
            </w:tr>
            <w:tr w:rsidR="00750A57" w14:paraId="06F1410A" w14:textId="379C14F2" w:rsidTr="00C86B32">
              <w:tc>
                <w:tcPr>
                  <w:tcW w:w="4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DE39B6" w14:textId="19209FE6" w:rsidR="007D2E64" w:rsidRPr="0098107F" w:rsidRDefault="007D2E64" w:rsidP="00A6394A">
                  <w:pPr>
                    <w:spacing w:after="0" w:line="240" w:lineRule="auto"/>
                    <w:contextualSpacing/>
                    <w:rPr>
                      <w:b/>
                      <w:color w:val="C00000"/>
                      <w:sz w:val="20"/>
                    </w:rPr>
                  </w:pPr>
                  <w:r w:rsidRPr="0098107F">
                    <w:rPr>
                      <w:b/>
                      <w:color w:val="C00000"/>
                      <w:sz w:val="20"/>
                    </w:rPr>
                    <w:t xml:space="preserve">EDU913 </w:t>
                  </w:r>
                  <w:r w:rsidRPr="0098107F">
                    <w:rPr>
                      <w:b/>
                      <w:i/>
                      <w:color w:val="C00000"/>
                      <w:sz w:val="20"/>
                    </w:rPr>
                    <w:t>Travail dirigé I</w:t>
                  </w:r>
                  <w:r w:rsidRPr="0098107F">
                    <w:rPr>
                      <w:b/>
                      <w:color w:val="C00000"/>
                      <w:sz w:val="20"/>
                    </w:rPr>
                    <w:t xml:space="preserve"> (3 </w:t>
                  </w:r>
                  <w:proofErr w:type="spellStart"/>
                  <w:r w:rsidRPr="0098107F">
                    <w:rPr>
                      <w:b/>
                      <w:color w:val="C00000"/>
                      <w:sz w:val="20"/>
                    </w:rPr>
                    <w:t>cr</w:t>
                  </w:r>
                  <w:proofErr w:type="spellEnd"/>
                  <w:proofErr w:type="gramStart"/>
                  <w:r w:rsidRPr="0098107F">
                    <w:rPr>
                      <w:b/>
                      <w:color w:val="C00000"/>
                      <w:sz w:val="20"/>
                    </w:rPr>
                    <w:t>.)</w:t>
                  </w:r>
                  <w:r w:rsidR="006F7D92" w:rsidRPr="006F7D92">
                    <w:rPr>
                      <w:b/>
                      <w:color w:val="00B050"/>
                      <w:szCs w:val="24"/>
                    </w:rPr>
                    <w:t>*</w:t>
                  </w:r>
                  <w:proofErr w:type="gramEnd"/>
                </w:p>
              </w:tc>
              <w:tc>
                <w:tcPr>
                  <w:tcW w:w="975" w:type="dxa"/>
                  <w:tcBorders>
                    <w:top w:val="nil"/>
                    <w:left w:val="nil"/>
                    <w:bottom w:val="single" w:sz="8" w:space="0" w:color="auto"/>
                    <w:right w:val="single" w:sz="4" w:space="0" w:color="auto"/>
                  </w:tcBorders>
                </w:tcPr>
                <w:p w14:paraId="2246506D" w14:textId="47656864" w:rsidR="007D2E64" w:rsidRPr="00A6394A" w:rsidRDefault="007D2E64" w:rsidP="007D2E64">
                  <w:pPr>
                    <w:spacing w:after="0" w:line="240" w:lineRule="auto"/>
                    <w:contextualSpacing/>
                    <w:jc w:val="center"/>
                    <w:rPr>
                      <w:color w:val="1F497D"/>
                      <w:sz w:val="20"/>
                    </w:rPr>
                  </w:pPr>
                  <w:r>
                    <w:rPr>
                      <w:color w:val="1F497D"/>
                      <w:sz w:val="20"/>
                    </w:rPr>
                    <w:t>Préciser</w:t>
                  </w:r>
                </w:p>
              </w:tc>
              <w:tc>
                <w:tcPr>
                  <w:tcW w:w="3686" w:type="dxa"/>
                  <w:tcBorders>
                    <w:top w:val="nil"/>
                    <w:left w:val="single" w:sz="4"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14:paraId="5758DBB3" w14:textId="58F24AEE" w:rsidR="007D2E64" w:rsidRPr="00A6394A" w:rsidRDefault="007D2E64" w:rsidP="00A6394A">
                  <w:pPr>
                    <w:spacing w:after="0" w:line="240" w:lineRule="auto"/>
                    <w:contextualSpacing/>
                    <w:rPr>
                      <w:color w:val="1F497D"/>
                      <w:sz w:val="20"/>
                    </w:rPr>
                  </w:pPr>
                </w:p>
              </w:tc>
              <w:tc>
                <w:tcPr>
                  <w:tcW w:w="709" w:type="dxa"/>
                  <w:tcBorders>
                    <w:top w:val="nil"/>
                    <w:left w:val="single" w:sz="4" w:space="0" w:color="auto"/>
                    <w:bottom w:val="single" w:sz="8" w:space="0" w:color="auto"/>
                    <w:right w:val="single" w:sz="8" w:space="0" w:color="auto"/>
                  </w:tcBorders>
                  <w:shd w:val="clear" w:color="auto" w:fill="A6A6A6" w:themeFill="background1" w:themeFillShade="A6"/>
                </w:tcPr>
                <w:p w14:paraId="79DC5397" w14:textId="77777777" w:rsidR="007D2E64" w:rsidRPr="00A6394A" w:rsidRDefault="007D2E64" w:rsidP="007D2E64">
                  <w:pPr>
                    <w:spacing w:after="0" w:line="240" w:lineRule="auto"/>
                    <w:contextualSpacing/>
                    <w:jc w:val="center"/>
                    <w:rPr>
                      <w:color w:val="1F497D"/>
                      <w:sz w:val="20"/>
                    </w:rPr>
                  </w:pPr>
                </w:p>
              </w:tc>
            </w:tr>
            <w:tr w:rsidR="00750A57" w14:paraId="13347514" w14:textId="147FB33B" w:rsidTr="00C86B32">
              <w:tc>
                <w:tcPr>
                  <w:tcW w:w="4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8DC65" w14:textId="752914D5" w:rsidR="007D2E64" w:rsidRPr="0098107F" w:rsidRDefault="007D2E64" w:rsidP="00A6394A">
                  <w:pPr>
                    <w:spacing w:after="0" w:line="240" w:lineRule="auto"/>
                    <w:contextualSpacing/>
                    <w:rPr>
                      <w:b/>
                      <w:color w:val="C00000"/>
                      <w:sz w:val="20"/>
                    </w:rPr>
                  </w:pPr>
                  <w:r w:rsidRPr="0098107F">
                    <w:rPr>
                      <w:b/>
                      <w:color w:val="C00000"/>
                      <w:sz w:val="20"/>
                    </w:rPr>
                    <w:t>EDU914</w:t>
                  </w:r>
                  <w:r w:rsidRPr="0098107F">
                    <w:rPr>
                      <w:b/>
                      <w:i/>
                      <w:color w:val="C00000"/>
                      <w:sz w:val="20"/>
                    </w:rPr>
                    <w:t xml:space="preserve"> Travail dirigé II</w:t>
                  </w:r>
                  <w:r w:rsidRPr="0098107F">
                    <w:rPr>
                      <w:b/>
                      <w:color w:val="C00000"/>
                      <w:sz w:val="20"/>
                    </w:rPr>
                    <w:t xml:space="preserve"> (3 </w:t>
                  </w:r>
                  <w:proofErr w:type="spellStart"/>
                  <w:r w:rsidRPr="0098107F">
                    <w:rPr>
                      <w:b/>
                      <w:color w:val="C00000"/>
                      <w:sz w:val="20"/>
                    </w:rPr>
                    <w:t>cr</w:t>
                  </w:r>
                  <w:proofErr w:type="spellEnd"/>
                  <w:r w:rsidRPr="0098107F">
                    <w:rPr>
                      <w:b/>
                      <w:color w:val="C00000"/>
                      <w:sz w:val="20"/>
                    </w:rPr>
                    <w:t>.)</w:t>
                  </w:r>
                  <w:r w:rsidR="006F7D92" w:rsidRPr="006F7D92">
                    <w:rPr>
                      <w:b/>
                      <w:color w:val="00B050"/>
                      <w:szCs w:val="24"/>
                    </w:rPr>
                    <w:t xml:space="preserve"> *</w:t>
                  </w:r>
                </w:p>
              </w:tc>
              <w:tc>
                <w:tcPr>
                  <w:tcW w:w="975" w:type="dxa"/>
                  <w:tcBorders>
                    <w:top w:val="nil"/>
                    <w:left w:val="nil"/>
                    <w:bottom w:val="single" w:sz="8" w:space="0" w:color="auto"/>
                    <w:right w:val="single" w:sz="4" w:space="0" w:color="auto"/>
                  </w:tcBorders>
                </w:tcPr>
                <w:p w14:paraId="4A588FFB" w14:textId="75B90412" w:rsidR="007D2E64" w:rsidRPr="00A6394A" w:rsidRDefault="007D2E64" w:rsidP="007D2E64">
                  <w:pPr>
                    <w:spacing w:after="0" w:line="240" w:lineRule="auto"/>
                    <w:contextualSpacing/>
                    <w:jc w:val="center"/>
                    <w:rPr>
                      <w:color w:val="1F497D"/>
                      <w:sz w:val="20"/>
                    </w:rPr>
                  </w:pPr>
                  <w:r>
                    <w:rPr>
                      <w:color w:val="1F497D"/>
                      <w:sz w:val="20"/>
                    </w:rPr>
                    <w:t>Préciser</w:t>
                  </w:r>
                </w:p>
              </w:tc>
              <w:tc>
                <w:tcPr>
                  <w:tcW w:w="3686" w:type="dxa"/>
                  <w:tcBorders>
                    <w:top w:val="nil"/>
                    <w:left w:val="single" w:sz="4"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14:paraId="1C0BFEA3" w14:textId="6231652D" w:rsidR="007D2E64" w:rsidRPr="00A6394A" w:rsidRDefault="007D2E64" w:rsidP="00A6394A">
                  <w:pPr>
                    <w:spacing w:after="0" w:line="240" w:lineRule="auto"/>
                    <w:contextualSpacing/>
                    <w:rPr>
                      <w:color w:val="1F497D"/>
                      <w:sz w:val="20"/>
                    </w:rPr>
                  </w:pPr>
                </w:p>
              </w:tc>
              <w:tc>
                <w:tcPr>
                  <w:tcW w:w="709" w:type="dxa"/>
                  <w:tcBorders>
                    <w:top w:val="nil"/>
                    <w:left w:val="single" w:sz="4" w:space="0" w:color="auto"/>
                    <w:bottom w:val="single" w:sz="8" w:space="0" w:color="auto"/>
                    <w:right w:val="single" w:sz="8" w:space="0" w:color="auto"/>
                  </w:tcBorders>
                  <w:shd w:val="clear" w:color="auto" w:fill="A6A6A6" w:themeFill="background1" w:themeFillShade="A6"/>
                </w:tcPr>
                <w:p w14:paraId="020B9D27" w14:textId="77777777" w:rsidR="007D2E64" w:rsidRPr="00A6394A" w:rsidRDefault="007D2E64" w:rsidP="007D2E64">
                  <w:pPr>
                    <w:spacing w:after="0" w:line="240" w:lineRule="auto"/>
                    <w:contextualSpacing/>
                    <w:jc w:val="center"/>
                    <w:rPr>
                      <w:color w:val="1F497D"/>
                      <w:sz w:val="20"/>
                    </w:rPr>
                  </w:pPr>
                </w:p>
              </w:tc>
            </w:tr>
            <w:tr w:rsidR="00750A57" w14:paraId="0F8CABFE" w14:textId="129895EC" w:rsidTr="00C86B32">
              <w:tc>
                <w:tcPr>
                  <w:tcW w:w="4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C4D24" w14:textId="5E8FA496" w:rsidR="007D2E64" w:rsidRPr="00A6394A" w:rsidRDefault="007D2E64" w:rsidP="00A6394A">
                  <w:pPr>
                    <w:spacing w:after="0" w:line="240" w:lineRule="auto"/>
                    <w:contextualSpacing/>
                    <w:rPr>
                      <w:color w:val="254061"/>
                      <w:sz w:val="20"/>
                    </w:rPr>
                  </w:pPr>
                  <w:r w:rsidRPr="00A6394A">
                    <w:rPr>
                      <w:color w:val="254061"/>
                      <w:sz w:val="20"/>
                    </w:rPr>
                    <w:t>EDU915</w:t>
                  </w:r>
                  <w:r>
                    <w:rPr>
                      <w:color w:val="254061"/>
                      <w:sz w:val="20"/>
                    </w:rPr>
                    <w:t xml:space="preserve"> </w:t>
                  </w:r>
                  <w:r w:rsidRPr="00A6394A">
                    <w:rPr>
                      <w:i/>
                      <w:color w:val="254061"/>
                      <w:sz w:val="20"/>
                    </w:rPr>
                    <w:t>Travail dirigé III</w:t>
                  </w:r>
                  <w:r w:rsidRPr="00A6394A">
                    <w:rPr>
                      <w:color w:val="254061"/>
                      <w:sz w:val="20"/>
                    </w:rPr>
                    <w:t xml:space="preserve"> (3 </w:t>
                  </w:r>
                  <w:proofErr w:type="spellStart"/>
                  <w:r w:rsidRPr="00A6394A">
                    <w:rPr>
                      <w:color w:val="254061"/>
                      <w:sz w:val="20"/>
                    </w:rPr>
                    <w:t>cr</w:t>
                  </w:r>
                  <w:proofErr w:type="spellEnd"/>
                  <w:r>
                    <w:rPr>
                      <w:color w:val="254061"/>
                      <w:sz w:val="20"/>
                    </w:rPr>
                    <w:t>.</w:t>
                  </w:r>
                  <w:r w:rsidRPr="00A6394A">
                    <w:rPr>
                      <w:color w:val="254061"/>
                      <w:sz w:val="20"/>
                    </w:rPr>
                    <w:t>)</w:t>
                  </w:r>
                  <w:r w:rsidR="006F7D92" w:rsidRPr="006F7D92">
                    <w:rPr>
                      <w:b/>
                      <w:color w:val="00B050"/>
                      <w:szCs w:val="24"/>
                    </w:rPr>
                    <w:t xml:space="preserve"> *</w:t>
                  </w:r>
                </w:p>
              </w:tc>
              <w:tc>
                <w:tcPr>
                  <w:tcW w:w="975" w:type="dxa"/>
                  <w:tcBorders>
                    <w:top w:val="nil"/>
                    <w:left w:val="nil"/>
                    <w:bottom w:val="single" w:sz="8" w:space="0" w:color="auto"/>
                    <w:right w:val="single" w:sz="4" w:space="0" w:color="auto"/>
                  </w:tcBorders>
                  <w:shd w:val="clear" w:color="auto" w:fill="A6A6A6" w:themeFill="background1" w:themeFillShade="A6"/>
                </w:tcPr>
                <w:p w14:paraId="6ECE9B54" w14:textId="77777777" w:rsidR="007D2E64" w:rsidRPr="0098107F" w:rsidRDefault="007D2E64" w:rsidP="007D2E64">
                  <w:pPr>
                    <w:spacing w:after="0" w:line="240" w:lineRule="auto"/>
                    <w:contextualSpacing/>
                    <w:jc w:val="center"/>
                    <w:rPr>
                      <w:b/>
                      <w:color w:val="C00000"/>
                      <w:sz w:val="20"/>
                    </w:rPr>
                  </w:pPr>
                </w:p>
              </w:tc>
              <w:tc>
                <w:tcPr>
                  <w:tcW w:w="368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1A845DA" w14:textId="1C034B96" w:rsidR="007D2E64" w:rsidRPr="0098107F" w:rsidRDefault="007D2E64" w:rsidP="00A6394A">
                  <w:pPr>
                    <w:spacing w:after="0" w:line="240" w:lineRule="auto"/>
                    <w:contextualSpacing/>
                    <w:rPr>
                      <w:b/>
                      <w:color w:val="C00000"/>
                      <w:sz w:val="20"/>
                    </w:rPr>
                  </w:pPr>
                </w:p>
              </w:tc>
              <w:tc>
                <w:tcPr>
                  <w:tcW w:w="709" w:type="dxa"/>
                  <w:tcBorders>
                    <w:top w:val="nil"/>
                    <w:left w:val="single" w:sz="4" w:space="0" w:color="auto"/>
                    <w:bottom w:val="single" w:sz="8" w:space="0" w:color="auto"/>
                    <w:right w:val="single" w:sz="8" w:space="0" w:color="auto"/>
                  </w:tcBorders>
                </w:tcPr>
                <w:p w14:paraId="02BC2D6C" w14:textId="6DCBC1C0" w:rsidR="007D2E64" w:rsidRPr="0098107F" w:rsidRDefault="007D2E64" w:rsidP="007D2E64">
                  <w:pPr>
                    <w:spacing w:after="0" w:line="240" w:lineRule="auto"/>
                    <w:contextualSpacing/>
                    <w:jc w:val="center"/>
                    <w:rPr>
                      <w:b/>
                      <w:color w:val="C00000"/>
                      <w:sz w:val="20"/>
                    </w:rPr>
                  </w:pPr>
                  <w:r>
                    <w:rPr>
                      <w:color w:val="1F497D"/>
                      <w:sz w:val="20"/>
                    </w:rPr>
                    <w:t>Préciser</w:t>
                  </w:r>
                </w:p>
              </w:tc>
            </w:tr>
            <w:tr w:rsidR="00750A57" w14:paraId="54E5FD2F" w14:textId="08273293" w:rsidTr="00C86B32">
              <w:tc>
                <w:tcPr>
                  <w:tcW w:w="40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EE30D" w14:textId="5F0316DD" w:rsidR="007D2E64" w:rsidRPr="00A6394A" w:rsidRDefault="007D2E64" w:rsidP="00A6394A">
                  <w:pPr>
                    <w:spacing w:after="0" w:line="240" w:lineRule="auto"/>
                    <w:contextualSpacing/>
                    <w:rPr>
                      <w:color w:val="254061"/>
                      <w:sz w:val="20"/>
                    </w:rPr>
                  </w:pPr>
                  <w:r w:rsidRPr="00A6394A">
                    <w:rPr>
                      <w:color w:val="254061"/>
                      <w:sz w:val="20"/>
                    </w:rPr>
                    <w:t xml:space="preserve">EDU916 </w:t>
                  </w:r>
                  <w:r w:rsidRPr="00A6394A">
                    <w:rPr>
                      <w:i/>
                      <w:color w:val="254061"/>
                      <w:sz w:val="20"/>
                    </w:rPr>
                    <w:t>Travail dirigé IV</w:t>
                  </w:r>
                  <w:r w:rsidRPr="00A6394A">
                    <w:rPr>
                      <w:color w:val="254061"/>
                      <w:sz w:val="20"/>
                    </w:rPr>
                    <w:t xml:space="preserve"> (3 </w:t>
                  </w:r>
                  <w:proofErr w:type="spellStart"/>
                  <w:r w:rsidRPr="00A6394A">
                    <w:rPr>
                      <w:color w:val="254061"/>
                      <w:sz w:val="20"/>
                    </w:rPr>
                    <w:t>cr</w:t>
                  </w:r>
                  <w:proofErr w:type="spellEnd"/>
                  <w:r>
                    <w:rPr>
                      <w:color w:val="254061"/>
                      <w:sz w:val="20"/>
                    </w:rPr>
                    <w:t>.</w:t>
                  </w:r>
                  <w:r w:rsidRPr="00A6394A">
                    <w:rPr>
                      <w:color w:val="254061"/>
                      <w:sz w:val="20"/>
                    </w:rPr>
                    <w:t>)</w:t>
                  </w:r>
                  <w:r w:rsidR="006F7D92" w:rsidRPr="006F7D92">
                    <w:rPr>
                      <w:b/>
                      <w:color w:val="00B050"/>
                      <w:szCs w:val="24"/>
                    </w:rPr>
                    <w:t xml:space="preserve"> *</w:t>
                  </w:r>
                </w:p>
              </w:tc>
              <w:tc>
                <w:tcPr>
                  <w:tcW w:w="975" w:type="dxa"/>
                  <w:tcBorders>
                    <w:top w:val="nil"/>
                    <w:left w:val="nil"/>
                    <w:bottom w:val="single" w:sz="8" w:space="0" w:color="auto"/>
                    <w:right w:val="single" w:sz="4" w:space="0" w:color="auto"/>
                  </w:tcBorders>
                  <w:shd w:val="clear" w:color="auto" w:fill="A6A6A6" w:themeFill="background1" w:themeFillShade="A6"/>
                </w:tcPr>
                <w:p w14:paraId="6B47EDA5" w14:textId="77777777" w:rsidR="007D2E64" w:rsidRPr="0098107F" w:rsidRDefault="007D2E64" w:rsidP="007D2E64">
                  <w:pPr>
                    <w:spacing w:after="0" w:line="240" w:lineRule="auto"/>
                    <w:contextualSpacing/>
                    <w:jc w:val="center"/>
                    <w:rPr>
                      <w:b/>
                      <w:color w:val="C00000"/>
                      <w:sz w:val="20"/>
                    </w:rPr>
                  </w:pPr>
                </w:p>
              </w:tc>
              <w:tc>
                <w:tcPr>
                  <w:tcW w:w="3686"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A4930E8" w14:textId="457783F9" w:rsidR="007D2E64" w:rsidRPr="0098107F" w:rsidRDefault="007D2E64" w:rsidP="00A6394A">
                  <w:pPr>
                    <w:spacing w:after="0" w:line="240" w:lineRule="auto"/>
                    <w:contextualSpacing/>
                    <w:rPr>
                      <w:b/>
                      <w:color w:val="C00000"/>
                      <w:sz w:val="20"/>
                    </w:rPr>
                  </w:pPr>
                </w:p>
              </w:tc>
              <w:tc>
                <w:tcPr>
                  <w:tcW w:w="709" w:type="dxa"/>
                  <w:tcBorders>
                    <w:top w:val="nil"/>
                    <w:left w:val="single" w:sz="4" w:space="0" w:color="auto"/>
                    <w:bottom w:val="single" w:sz="8" w:space="0" w:color="auto"/>
                    <w:right w:val="single" w:sz="8" w:space="0" w:color="auto"/>
                  </w:tcBorders>
                </w:tcPr>
                <w:p w14:paraId="62CBD691" w14:textId="57AAECBE" w:rsidR="007D2E64" w:rsidRPr="0098107F" w:rsidRDefault="007D2E64" w:rsidP="007D2E64">
                  <w:pPr>
                    <w:spacing w:after="0" w:line="240" w:lineRule="auto"/>
                    <w:contextualSpacing/>
                    <w:jc w:val="center"/>
                    <w:rPr>
                      <w:b/>
                      <w:color w:val="C00000"/>
                      <w:sz w:val="20"/>
                    </w:rPr>
                  </w:pPr>
                  <w:r>
                    <w:rPr>
                      <w:color w:val="1F497D"/>
                      <w:sz w:val="20"/>
                    </w:rPr>
                    <w:t>Préciser</w:t>
                  </w:r>
                </w:p>
              </w:tc>
            </w:tr>
            <w:tr w:rsidR="00750A57" w14:paraId="61362D9D" w14:textId="40F36D1B" w:rsidTr="00C86B32">
              <w:tc>
                <w:tcPr>
                  <w:tcW w:w="4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A0AED" w14:textId="17EA8C98" w:rsidR="007D2E64" w:rsidRPr="0098107F" w:rsidRDefault="007D2E64" w:rsidP="00A6394A">
                  <w:pPr>
                    <w:spacing w:after="0" w:line="240" w:lineRule="auto"/>
                    <w:contextualSpacing/>
                    <w:rPr>
                      <w:b/>
                      <w:color w:val="C00000"/>
                      <w:sz w:val="20"/>
                    </w:rPr>
                  </w:pPr>
                  <w:r w:rsidRPr="0098107F">
                    <w:rPr>
                      <w:b/>
                      <w:color w:val="C00000"/>
                      <w:sz w:val="20"/>
                    </w:rPr>
                    <w:t xml:space="preserve">EDU906 </w:t>
                  </w:r>
                  <w:r w:rsidRPr="0098107F">
                    <w:rPr>
                      <w:b/>
                      <w:i/>
                      <w:color w:val="C00000"/>
                      <w:sz w:val="20"/>
                    </w:rPr>
                    <w:t>Examen de synthèse</w:t>
                  </w:r>
                  <w:r w:rsidRPr="0098107F">
                    <w:rPr>
                      <w:b/>
                      <w:color w:val="C00000"/>
                      <w:sz w:val="20"/>
                    </w:rPr>
                    <w:t xml:space="preserve"> (6 </w:t>
                  </w:r>
                  <w:proofErr w:type="spellStart"/>
                  <w:r w:rsidRPr="0098107F">
                    <w:rPr>
                      <w:b/>
                      <w:color w:val="C00000"/>
                      <w:sz w:val="20"/>
                    </w:rPr>
                    <w:t>cr</w:t>
                  </w:r>
                  <w:proofErr w:type="spellEnd"/>
                  <w:r w:rsidRPr="0098107F">
                    <w:rPr>
                      <w:b/>
                      <w:color w:val="C00000"/>
                      <w:sz w:val="20"/>
                    </w:rPr>
                    <w:t>.)</w:t>
                  </w:r>
                </w:p>
              </w:tc>
              <w:tc>
                <w:tcPr>
                  <w:tcW w:w="975" w:type="dxa"/>
                  <w:tcBorders>
                    <w:top w:val="nil"/>
                    <w:left w:val="nil"/>
                    <w:bottom w:val="single" w:sz="8" w:space="0" w:color="auto"/>
                    <w:right w:val="single" w:sz="4" w:space="0" w:color="auto"/>
                  </w:tcBorders>
                </w:tcPr>
                <w:p w14:paraId="34F29C5F" w14:textId="030D8276" w:rsidR="007D2E64" w:rsidRPr="00A6394A" w:rsidRDefault="007D2E64" w:rsidP="007D2E64">
                  <w:pPr>
                    <w:spacing w:after="0" w:line="240" w:lineRule="auto"/>
                    <w:contextualSpacing/>
                    <w:jc w:val="center"/>
                    <w:rPr>
                      <w:color w:val="1F497D"/>
                      <w:sz w:val="20"/>
                    </w:rPr>
                  </w:pPr>
                  <w:r>
                    <w:rPr>
                      <w:color w:val="1F497D"/>
                      <w:sz w:val="20"/>
                    </w:rPr>
                    <w:t>Préciser</w:t>
                  </w:r>
                </w:p>
              </w:tc>
              <w:tc>
                <w:tcPr>
                  <w:tcW w:w="3686" w:type="dxa"/>
                  <w:tcBorders>
                    <w:top w:val="nil"/>
                    <w:left w:val="single" w:sz="4"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14:paraId="67E1EC61" w14:textId="150EB011" w:rsidR="007D2E64" w:rsidRPr="00A6394A" w:rsidRDefault="007D2E64" w:rsidP="00A6394A">
                  <w:pPr>
                    <w:spacing w:after="0" w:line="240" w:lineRule="auto"/>
                    <w:contextualSpacing/>
                    <w:rPr>
                      <w:color w:val="1F497D"/>
                      <w:sz w:val="20"/>
                    </w:rPr>
                  </w:pPr>
                </w:p>
              </w:tc>
              <w:tc>
                <w:tcPr>
                  <w:tcW w:w="709" w:type="dxa"/>
                  <w:tcBorders>
                    <w:top w:val="nil"/>
                    <w:left w:val="single" w:sz="4" w:space="0" w:color="auto"/>
                    <w:bottom w:val="single" w:sz="8" w:space="0" w:color="auto"/>
                    <w:right w:val="single" w:sz="8" w:space="0" w:color="auto"/>
                  </w:tcBorders>
                  <w:shd w:val="clear" w:color="auto" w:fill="A6A6A6" w:themeFill="background1" w:themeFillShade="A6"/>
                </w:tcPr>
                <w:p w14:paraId="55AD79B4" w14:textId="77777777" w:rsidR="007D2E64" w:rsidRPr="00A6394A" w:rsidRDefault="007D2E64" w:rsidP="007D2E64">
                  <w:pPr>
                    <w:spacing w:after="0" w:line="240" w:lineRule="auto"/>
                    <w:contextualSpacing/>
                    <w:jc w:val="center"/>
                    <w:rPr>
                      <w:color w:val="1F497D"/>
                      <w:sz w:val="20"/>
                    </w:rPr>
                  </w:pPr>
                </w:p>
              </w:tc>
            </w:tr>
            <w:tr w:rsidR="00750A57" w14:paraId="166ACF7C" w14:textId="7B22C082" w:rsidTr="00C86B32">
              <w:tc>
                <w:tcPr>
                  <w:tcW w:w="4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8CF65E" w14:textId="61F88425" w:rsidR="007D2E64" w:rsidRPr="0098107F" w:rsidRDefault="007D2E64" w:rsidP="00A6394A">
                  <w:pPr>
                    <w:spacing w:after="0" w:line="240" w:lineRule="auto"/>
                    <w:contextualSpacing/>
                    <w:rPr>
                      <w:b/>
                      <w:color w:val="C00000"/>
                      <w:sz w:val="20"/>
                    </w:rPr>
                  </w:pPr>
                  <w:r w:rsidRPr="0098107F">
                    <w:rPr>
                      <w:b/>
                      <w:color w:val="C00000"/>
                      <w:sz w:val="20"/>
                    </w:rPr>
                    <w:t xml:space="preserve">EDU907 </w:t>
                  </w:r>
                  <w:r w:rsidRPr="0098107F">
                    <w:rPr>
                      <w:b/>
                      <w:i/>
                      <w:color w:val="C00000"/>
                      <w:sz w:val="20"/>
                    </w:rPr>
                    <w:t>Dépôt et soutenance du projet de recherche</w:t>
                  </w:r>
                  <w:r w:rsidRPr="0098107F">
                    <w:rPr>
                      <w:b/>
                      <w:color w:val="C00000"/>
                      <w:sz w:val="20"/>
                    </w:rPr>
                    <w:t xml:space="preserve"> (18 </w:t>
                  </w:r>
                  <w:proofErr w:type="spellStart"/>
                  <w:r w:rsidRPr="0098107F">
                    <w:rPr>
                      <w:b/>
                      <w:color w:val="C00000"/>
                      <w:sz w:val="20"/>
                    </w:rPr>
                    <w:t>cr</w:t>
                  </w:r>
                  <w:proofErr w:type="spellEnd"/>
                  <w:r w:rsidRPr="0098107F">
                    <w:rPr>
                      <w:b/>
                      <w:color w:val="C00000"/>
                      <w:sz w:val="20"/>
                    </w:rPr>
                    <w:t>.)</w:t>
                  </w:r>
                </w:p>
              </w:tc>
              <w:tc>
                <w:tcPr>
                  <w:tcW w:w="975" w:type="dxa"/>
                  <w:tcBorders>
                    <w:top w:val="nil"/>
                    <w:left w:val="nil"/>
                    <w:bottom w:val="single" w:sz="8" w:space="0" w:color="auto"/>
                    <w:right w:val="single" w:sz="4" w:space="0" w:color="auto"/>
                  </w:tcBorders>
                </w:tcPr>
                <w:p w14:paraId="0B3CFB1F" w14:textId="25FFF6A9" w:rsidR="007D2E64" w:rsidRPr="00A6394A" w:rsidRDefault="007D2E64" w:rsidP="007D2E64">
                  <w:pPr>
                    <w:spacing w:after="0" w:line="240" w:lineRule="auto"/>
                    <w:contextualSpacing/>
                    <w:jc w:val="center"/>
                    <w:rPr>
                      <w:color w:val="1F497D"/>
                      <w:sz w:val="20"/>
                    </w:rPr>
                  </w:pPr>
                  <w:r>
                    <w:rPr>
                      <w:color w:val="1F497D"/>
                      <w:sz w:val="20"/>
                    </w:rPr>
                    <w:t>Préciser</w:t>
                  </w:r>
                </w:p>
              </w:tc>
              <w:tc>
                <w:tcPr>
                  <w:tcW w:w="3686" w:type="dxa"/>
                  <w:tcBorders>
                    <w:top w:val="nil"/>
                    <w:left w:val="single" w:sz="4"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14:paraId="11D43E68" w14:textId="6F853006" w:rsidR="007D2E64" w:rsidRPr="00A6394A" w:rsidRDefault="007D2E64" w:rsidP="00A6394A">
                  <w:pPr>
                    <w:spacing w:after="0" w:line="240" w:lineRule="auto"/>
                    <w:contextualSpacing/>
                    <w:rPr>
                      <w:color w:val="1F497D"/>
                      <w:sz w:val="20"/>
                    </w:rPr>
                  </w:pPr>
                </w:p>
              </w:tc>
              <w:tc>
                <w:tcPr>
                  <w:tcW w:w="709" w:type="dxa"/>
                  <w:tcBorders>
                    <w:top w:val="nil"/>
                    <w:left w:val="single" w:sz="4" w:space="0" w:color="auto"/>
                    <w:bottom w:val="single" w:sz="8" w:space="0" w:color="auto"/>
                    <w:right w:val="single" w:sz="8" w:space="0" w:color="auto"/>
                  </w:tcBorders>
                  <w:shd w:val="clear" w:color="auto" w:fill="A6A6A6" w:themeFill="background1" w:themeFillShade="A6"/>
                </w:tcPr>
                <w:p w14:paraId="7F403E6C" w14:textId="77777777" w:rsidR="007D2E64" w:rsidRPr="00A6394A" w:rsidRDefault="007D2E64" w:rsidP="007D2E64">
                  <w:pPr>
                    <w:spacing w:after="0" w:line="240" w:lineRule="auto"/>
                    <w:contextualSpacing/>
                    <w:jc w:val="center"/>
                    <w:rPr>
                      <w:color w:val="1F497D"/>
                      <w:sz w:val="20"/>
                    </w:rPr>
                  </w:pPr>
                </w:p>
              </w:tc>
            </w:tr>
            <w:tr w:rsidR="00750A57" w14:paraId="340D97B1" w14:textId="5EA7B788" w:rsidTr="00C86B32">
              <w:tc>
                <w:tcPr>
                  <w:tcW w:w="40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C63F5F" w14:textId="1C18EEF1" w:rsidR="007D2E64" w:rsidRPr="0098107F" w:rsidRDefault="007D2E64" w:rsidP="00A6394A">
                  <w:pPr>
                    <w:spacing w:after="0" w:line="240" w:lineRule="auto"/>
                    <w:contextualSpacing/>
                    <w:rPr>
                      <w:b/>
                      <w:color w:val="C00000"/>
                      <w:sz w:val="20"/>
                    </w:rPr>
                  </w:pPr>
                  <w:r w:rsidRPr="0098107F">
                    <w:rPr>
                      <w:b/>
                      <w:color w:val="C00000"/>
                      <w:sz w:val="20"/>
                    </w:rPr>
                    <w:t xml:space="preserve">EDU908 </w:t>
                  </w:r>
                  <w:r w:rsidRPr="0098107F">
                    <w:rPr>
                      <w:b/>
                      <w:i/>
                      <w:color w:val="C00000"/>
                      <w:sz w:val="20"/>
                    </w:rPr>
                    <w:t>Bilan d’étape</w:t>
                  </w:r>
                  <w:r w:rsidRPr="0098107F">
                    <w:rPr>
                      <w:b/>
                      <w:color w:val="C00000"/>
                      <w:sz w:val="20"/>
                    </w:rPr>
                    <w:t xml:space="preserve"> (12 </w:t>
                  </w:r>
                  <w:proofErr w:type="spellStart"/>
                  <w:r w:rsidRPr="0098107F">
                    <w:rPr>
                      <w:b/>
                      <w:color w:val="C00000"/>
                      <w:sz w:val="20"/>
                    </w:rPr>
                    <w:t>cr</w:t>
                  </w:r>
                  <w:proofErr w:type="spellEnd"/>
                  <w:r w:rsidRPr="0098107F">
                    <w:rPr>
                      <w:b/>
                      <w:color w:val="C00000"/>
                      <w:sz w:val="20"/>
                    </w:rPr>
                    <w:t>.)</w:t>
                  </w:r>
                  <w:r w:rsidR="006F7D92" w:rsidRPr="006F7D92">
                    <w:rPr>
                      <w:b/>
                      <w:color w:val="00B050"/>
                      <w:szCs w:val="24"/>
                    </w:rPr>
                    <w:t xml:space="preserve"> *</w:t>
                  </w:r>
                </w:p>
              </w:tc>
              <w:tc>
                <w:tcPr>
                  <w:tcW w:w="975" w:type="dxa"/>
                  <w:tcBorders>
                    <w:top w:val="nil"/>
                    <w:left w:val="nil"/>
                    <w:bottom w:val="single" w:sz="8" w:space="0" w:color="auto"/>
                    <w:right w:val="single" w:sz="4" w:space="0" w:color="auto"/>
                  </w:tcBorders>
                </w:tcPr>
                <w:p w14:paraId="23F4E9F5" w14:textId="7C48D85D" w:rsidR="007D2E64" w:rsidRPr="00A6394A" w:rsidRDefault="007D2E64" w:rsidP="007D2E64">
                  <w:pPr>
                    <w:spacing w:after="0" w:line="240" w:lineRule="auto"/>
                    <w:contextualSpacing/>
                    <w:jc w:val="center"/>
                    <w:rPr>
                      <w:color w:val="1F497D"/>
                      <w:sz w:val="20"/>
                    </w:rPr>
                  </w:pPr>
                  <w:r>
                    <w:rPr>
                      <w:color w:val="1F497D"/>
                      <w:sz w:val="20"/>
                    </w:rPr>
                    <w:t>Préciser</w:t>
                  </w:r>
                </w:p>
              </w:tc>
              <w:tc>
                <w:tcPr>
                  <w:tcW w:w="3686" w:type="dxa"/>
                  <w:tcBorders>
                    <w:top w:val="nil"/>
                    <w:left w:val="single" w:sz="4"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tcPr>
                <w:p w14:paraId="2D79C880" w14:textId="63904AB1" w:rsidR="007D2E64" w:rsidRPr="00A6394A" w:rsidRDefault="007D2E64" w:rsidP="00A6394A">
                  <w:pPr>
                    <w:spacing w:after="0" w:line="240" w:lineRule="auto"/>
                    <w:contextualSpacing/>
                    <w:rPr>
                      <w:color w:val="1F497D"/>
                      <w:sz w:val="20"/>
                    </w:rPr>
                  </w:pPr>
                </w:p>
              </w:tc>
              <w:tc>
                <w:tcPr>
                  <w:tcW w:w="709" w:type="dxa"/>
                  <w:tcBorders>
                    <w:top w:val="nil"/>
                    <w:left w:val="single" w:sz="4" w:space="0" w:color="auto"/>
                    <w:bottom w:val="single" w:sz="8" w:space="0" w:color="auto"/>
                    <w:right w:val="single" w:sz="8" w:space="0" w:color="auto"/>
                  </w:tcBorders>
                  <w:shd w:val="clear" w:color="auto" w:fill="A6A6A6" w:themeFill="background1" w:themeFillShade="A6"/>
                </w:tcPr>
                <w:p w14:paraId="6338D7D0" w14:textId="77777777" w:rsidR="007D2E64" w:rsidRPr="00A6394A" w:rsidRDefault="007D2E64" w:rsidP="007D2E64">
                  <w:pPr>
                    <w:spacing w:after="0" w:line="240" w:lineRule="auto"/>
                    <w:contextualSpacing/>
                    <w:jc w:val="center"/>
                    <w:rPr>
                      <w:color w:val="1F497D"/>
                      <w:sz w:val="20"/>
                    </w:rPr>
                  </w:pPr>
                </w:p>
              </w:tc>
            </w:tr>
            <w:tr w:rsidR="00750A57" w14:paraId="79488F05" w14:textId="16BC26A0" w:rsidTr="00C86B32">
              <w:tc>
                <w:tcPr>
                  <w:tcW w:w="4001" w:type="dxa"/>
                  <w:tcBorders>
                    <w:top w:val="nil"/>
                    <w:left w:val="single" w:sz="8" w:space="0" w:color="auto"/>
                    <w:bottom w:val="single" w:sz="18" w:space="0" w:color="auto"/>
                    <w:right w:val="single" w:sz="8" w:space="0" w:color="auto"/>
                  </w:tcBorders>
                  <w:tcMar>
                    <w:top w:w="0" w:type="dxa"/>
                    <w:left w:w="108" w:type="dxa"/>
                    <w:bottom w:w="0" w:type="dxa"/>
                    <w:right w:w="108" w:type="dxa"/>
                  </w:tcMar>
                  <w:hideMark/>
                </w:tcPr>
                <w:p w14:paraId="08812CD5" w14:textId="22DC08F4" w:rsidR="007D2E64" w:rsidRPr="00A6394A" w:rsidRDefault="007D2E64" w:rsidP="00A6394A">
                  <w:pPr>
                    <w:spacing w:after="0" w:line="240" w:lineRule="auto"/>
                    <w:contextualSpacing/>
                    <w:rPr>
                      <w:color w:val="1F497D"/>
                      <w:sz w:val="20"/>
                    </w:rPr>
                  </w:pPr>
                  <w:r w:rsidRPr="00A6394A">
                    <w:rPr>
                      <w:color w:val="1F497D"/>
                      <w:sz w:val="20"/>
                    </w:rPr>
                    <w:t xml:space="preserve">EDU922 </w:t>
                  </w:r>
                  <w:r w:rsidRPr="00A6394A">
                    <w:rPr>
                      <w:i/>
                      <w:color w:val="1F497D"/>
                      <w:sz w:val="20"/>
                    </w:rPr>
                    <w:t>Dépôt et soutenance de thèse</w:t>
                  </w:r>
                  <w:r w:rsidRPr="00A6394A">
                    <w:rPr>
                      <w:color w:val="1F497D"/>
                      <w:sz w:val="20"/>
                    </w:rPr>
                    <w:t xml:space="preserve"> (36 </w:t>
                  </w:r>
                  <w:proofErr w:type="spellStart"/>
                  <w:r w:rsidRPr="00A6394A">
                    <w:rPr>
                      <w:color w:val="1F497D"/>
                      <w:sz w:val="20"/>
                    </w:rPr>
                    <w:t>cr</w:t>
                  </w:r>
                  <w:proofErr w:type="spellEnd"/>
                  <w:r>
                    <w:rPr>
                      <w:color w:val="1F497D"/>
                      <w:sz w:val="20"/>
                    </w:rPr>
                    <w:t>.</w:t>
                  </w:r>
                  <w:r w:rsidRPr="00A6394A">
                    <w:rPr>
                      <w:color w:val="1F497D"/>
                      <w:sz w:val="20"/>
                    </w:rPr>
                    <w:t>)</w:t>
                  </w:r>
                </w:p>
              </w:tc>
              <w:tc>
                <w:tcPr>
                  <w:tcW w:w="975" w:type="dxa"/>
                  <w:tcBorders>
                    <w:top w:val="nil"/>
                    <w:left w:val="nil"/>
                    <w:bottom w:val="single" w:sz="18" w:space="0" w:color="auto"/>
                    <w:right w:val="single" w:sz="4" w:space="0" w:color="auto"/>
                  </w:tcBorders>
                  <w:shd w:val="clear" w:color="auto" w:fill="A6A6A6" w:themeFill="background1" w:themeFillShade="A6"/>
                </w:tcPr>
                <w:p w14:paraId="398B14E4" w14:textId="77777777" w:rsidR="007D2E64" w:rsidRPr="0098107F" w:rsidRDefault="007D2E64" w:rsidP="007D2E64">
                  <w:pPr>
                    <w:spacing w:after="0" w:line="240" w:lineRule="auto"/>
                    <w:contextualSpacing/>
                    <w:jc w:val="center"/>
                    <w:rPr>
                      <w:b/>
                      <w:color w:val="C00000"/>
                      <w:sz w:val="20"/>
                    </w:rPr>
                  </w:pPr>
                </w:p>
              </w:tc>
              <w:tc>
                <w:tcPr>
                  <w:tcW w:w="3686" w:type="dxa"/>
                  <w:tcBorders>
                    <w:top w:val="nil"/>
                    <w:left w:val="single" w:sz="4" w:space="0" w:color="auto"/>
                    <w:bottom w:val="single" w:sz="18" w:space="0" w:color="auto"/>
                    <w:right w:val="single" w:sz="8" w:space="0" w:color="auto"/>
                  </w:tcBorders>
                  <w:tcMar>
                    <w:top w:w="0" w:type="dxa"/>
                    <w:left w:w="108" w:type="dxa"/>
                    <w:bottom w:w="0" w:type="dxa"/>
                    <w:right w:w="108" w:type="dxa"/>
                  </w:tcMar>
                </w:tcPr>
                <w:p w14:paraId="5EA19E73" w14:textId="318E5386" w:rsidR="007D2E64" w:rsidRPr="0098107F" w:rsidRDefault="007D2E64" w:rsidP="00A6394A">
                  <w:pPr>
                    <w:spacing w:after="0" w:line="240" w:lineRule="auto"/>
                    <w:contextualSpacing/>
                    <w:rPr>
                      <w:b/>
                      <w:color w:val="1F497D"/>
                      <w:sz w:val="20"/>
                    </w:rPr>
                  </w:pPr>
                </w:p>
              </w:tc>
              <w:tc>
                <w:tcPr>
                  <w:tcW w:w="709" w:type="dxa"/>
                  <w:tcBorders>
                    <w:top w:val="nil"/>
                    <w:left w:val="single" w:sz="4" w:space="0" w:color="auto"/>
                    <w:bottom w:val="single" w:sz="18" w:space="0" w:color="auto"/>
                    <w:right w:val="single" w:sz="8" w:space="0" w:color="auto"/>
                  </w:tcBorders>
                </w:tcPr>
                <w:p w14:paraId="4B22765B" w14:textId="13A0496F" w:rsidR="007D2E64" w:rsidRPr="0098107F" w:rsidRDefault="007D2E64" w:rsidP="007D2E64">
                  <w:pPr>
                    <w:spacing w:after="0" w:line="240" w:lineRule="auto"/>
                    <w:contextualSpacing/>
                    <w:jc w:val="center"/>
                    <w:rPr>
                      <w:b/>
                      <w:color w:val="C00000"/>
                      <w:sz w:val="20"/>
                    </w:rPr>
                  </w:pPr>
                  <w:r>
                    <w:rPr>
                      <w:color w:val="1F497D"/>
                      <w:sz w:val="20"/>
                    </w:rPr>
                    <w:t>Préciser</w:t>
                  </w:r>
                </w:p>
              </w:tc>
            </w:tr>
            <w:tr w:rsidR="007D2E64" w14:paraId="769D1A25" w14:textId="04235DAD" w:rsidTr="00C86B32">
              <w:tc>
                <w:tcPr>
                  <w:tcW w:w="4976" w:type="dxa"/>
                  <w:gridSpan w:val="2"/>
                  <w:tcBorders>
                    <w:top w:val="nil"/>
                    <w:left w:val="single" w:sz="8" w:space="0" w:color="auto"/>
                    <w:bottom w:val="single" w:sz="8" w:space="0" w:color="auto"/>
                    <w:right w:val="single" w:sz="4" w:space="0" w:color="auto"/>
                  </w:tcBorders>
                  <w:shd w:val="clear" w:color="auto" w:fill="BFBFBF" w:themeFill="background1" w:themeFillShade="BF"/>
                  <w:tcMar>
                    <w:top w:w="0" w:type="dxa"/>
                    <w:left w:w="108" w:type="dxa"/>
                    <w:bottom w:w="0" w:type="dxa"/>
                    <w:right w:w="108" w:type="dxa"/>
                  </w:tcMar>
                  <w:hideMark/>
                </w:tcPr>
                <w:p w14:paraId="3E61F2F0" w14:textId="140E7324" w:rsidR="007D2E64" w:rsidRPr="006F7D92" w:rsidRDefault="007D2E64" w:rsidP="00A6394A">
                  <w:pPr>
                    <w:spacing w:after="0" w:line="240" w:lineRule="auto"/>
                    <w:contextualSpacing/>
                    <w:rPr>
                      <w:sz w:val="17"/>
                      <w:szCs w:val="17"/>
                    </w:rPr>
                  </w:pPr>
                  <w:r w:rsidRPr="006F7D92">
                    <w:rPr>
                      <w:sz w:val="17"/>
                      <w:szCs w:val="17"/>
                    </w:rPr>
                    <w:t>TOTAL des crédits à l’UdeS : 45 crédits</w:t>
                  </w:r>
                </w:p>
              </w:tc>
              <w:tc>
                <w:tcPr>
                  <w:tcW w:w="4395" w:type="dxa"/>
                  <w:gridSpan w:val="2"/>
                  <w:tcBorders>
                    <w:top w:val="nil"/>
                    <w:left w:val="single" w:sz="4"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BCD5671" w14:textId="3C8837CC" w:rsidR="007D2E64" w:rsidRPr="006F7D92" w:rsidRDefault="007D2E64" w:rsidP="00A6394A">
                  <w:pPr>
                    <w:spacing w:after="0" w:line="240" w:lineRule="auto"/>
                    <w:contextualSpacing/>
                    <w:rPr>
                      <w:sz w:val="17"/>
                      <w:szCs w:val="17"/>
                    </w:rPr>
                  </w:pPr>
                  <w:r w:rsidRPr="006F7D92">
                    <w:rPr>
                      <w:sz w:val="17"/>
                      <w:szCs w:val="17"/>
                    </w:rPr>
                    <w:t>TOTAL des crédits dans l’établissement partenaire : 45 crédits</w:t>
                  </w:r>
                </w:p>
              </w:tc>
            </w:tr>
          </w:tbl>
          <w:p w14:paraId="6D769F71" w14:textId="728C053E" w:rsidR="0098107F" w:rsidRDefault="006F7D92" w:rsidP="00D536D6">
            <w:pPr>
              <w:pStyle w:val="Paragraphedeliste"/>
              <w:spacing w:after="120"/>
              <w:ind w:left="284"/>
              <w:contextualSpacing w:val="0"/>
              <w:jc w:val="both"/>
            </w:pPr>
            <w:r w:rsidRPr="006F7D92">
              <w:rPr>
                <w:b/>
                <w:bCs/>
              </w:rPr>
              <w:t>Note</w:t>
            </w:r>
            <w:r>
              <w:t> : Certaines activités peuvent être réalisées à distance</w:t>
            </w:r>
            <w:r w:rsidRPr="006F7D92">
              <w:rPr>
                <w:b/>
                <w:color w:val="00B050"/>
                <w:szCs w:val="24"/>
              </w:rPr>
              <w:t>*</w:t>
            </w:r>
            <w:r>
              <w:t>, à des trimestres où la doctorante ou le doctorant n’est pas présent à l’</w:t>
            </w:r>
            <w:proofErr w:type="spellStart"/>
            <w:r>
              <w:t>UdeS</w:t>
            </w:r>
            <w:proofErr w:type="spellEnd"/>
            <w:r>
              <w:t xml:space="preserve">; </w:t>
            </w:r>
            <w:r w:rsidR="002D6CDB">
              <w:t>il importe de communiquer avec le programme</w:t>
            </w:r>
            <w:r>
              <w:t xml:space="preserve"> </w:t>
            </w:r>
            <w:r w:rsidR="002D6CDB">
              <w:t xml:space="preserve">pour connaitre </w:t>
            </w:r>
            <w:r>
              <w:t>les activités en présence et à distance.</w:t>
            </w:r>
          </w:p>
          <w:p w14:paraId="4D001D36" w14:textId="42942AD0" w:rsidR="00690E24" w:rsidRDefault="00690E24" w:rsidP="00912D78">
            <w:pPr>
              <w:pStyle w:val="Paragraphedeliste"/>
              <w:numPr>
                <w:ilvl w:val="0"/>
                <w:numId w:val="14"/>
              </w:numPr>
              <w:ind w:left="284" w:hanging="284"/>
              <w:contextualSpacing w:val="0"/>
              <w:jc w:val="both"/>
            </w:pPr>
            <w:r>
              <w:t xml:space="preserve">Un </w:t>
            </w:r>
            <w:r w:rsidRPr="007B03B5">
              <w:rPr>
                <w:b/>
              </w:rPr>
              <w:t>avenant à la convention</w:t>
            </w:r>
            <w:r>
              <w:t xml:space="preserve"> </w:t>
            </w:r>
            <w:r w:rsidR="007B03B5">
              <w:t>est</w:t>
            </w:r>
            <w:r>
              <w:t xml:space="preserve"> requis dans les cas suivants : </w:t>
            </w:r>
          </w:p>
          <w:p w14:paraId="186D8A1F" w14:textId="3FBAA620" w:rsidR="00690E24" w:rsidRDefault="001B53D7" w:rsidP="00690E24">
            <w:pPr>
              <w:pStyle w:val="Paragraphedeliste"/>
              <w:numPr>
                <w:ilvl w:val="0"/>
                <w:numId w:val="11"/>
              </w:numPr>
              <w:ind w:left="567" w:hanging="284"/>
              <w:contextualSpacing w:val="0"/>
              <w:jc w:val="both"/>
            </w:pPr>
            <w:r>
              <w:t>Une prolongation de l</w:t>
            </w:r>
            <w:r w:rsidR="00690E24">
              <w:t>a durée prévue des études doctorales</w:t>
            </w:r>
            <w:r w:rsidR="007B03B5">
              <w:t>,</w:t>
            </w:r>
            <w:r w:rsidR="00690E24">
              <w:t xml:space="preserve"> telle qu’indiquée à la convention de cotutelle de thèse;</w:t>
            </w:r>
          </w:p>
          <w:p w14:paraId="3D587C9C" w14:textId="12ACE161" w:rsidR="00690E24" w:rsidRDefault="00690E24" w:rsidP="00690E24">
            <w:pPr>
              <w:pStyle w:val="Paragraphedeliste"/>
              <w:numPr>
                <w:ilvl w:val="0"/>
                <w:numId w:val="11"/>
              </w:numPr>
              <w:ind w:left="567" w:hanging="284"/>
              <w:contextualSpacing w:val="0"/>
              <w:jc w:val="both"/>
            </w:pPr>
            <w:r>
              <w:t xml:space="preserve">Un changement dans l’équipe </w:t>
            </w:r>
            <w:r w:rsidR="00D536D6">
              <w:t>de direction</w:t>
            </w:r>
            <w:r>
              <w:t xml:space="preserve"> de </w:t>
            </w:r>
            <w:r w:rsidR="00AE3B8C">
              <w:t>la doctorante</w:t>
            </w:r>
            <w:r>
              <w:t xml:space="preserve"> ou </w:t>
            </w:r>
            <w:r w:rsidR="00AE3B8C">
              <w:t>du doctorant</w:t>
            </w:r>
            <w:r>
              <w:t>;</w:t>
            </w:r>
          </w:p>
          <w:p w14:paraId="06B1531A" w14:textId="6D528134" w:rsidR="00690E24" w:rsidRDefault="00690E24" w:rsidP="00690E24">
            <w:pPr>
              <w:pStyle w:val="Paragraphedeliste"/>
              <w:numPr>
                <w:ilvl w:val="0"/>
                <w:numId w:val="11"/>
              </w:numPr>
              <w:ind w:left="567" w:hanging="284"/>
              <w:contextualSpacing w:val="0"/>
              <w:jc w:val="both"/>
            </w:pPr>
            <w:r>
              <w:t>Un changement du sujet de thèse;</w:t>
            </w:r>
          </w:p>
          <w:p w14:paraId="5BCDCB89" w14:textId="77777777" w:rsidR="00690E24" w:rsidRDefault="00690E24" w:rsidP="00690E24">
            <w:pPr>
              <w:pStyle w:val="Paragraphedeliste"/>
              <w:numPr>
                <w:ilvl w:val="0"/>
                <w:numId w:val="11"/>
              </w:numPr>
              <w:ind w:left="567" w:hanging="284"/>
              <w:contextualSpacing w:val="0"/>
              <w:jc w:val="both"/>
            </w:pPr>
            <w:r>
              <w:t>Un changement d’établissement partenaire.</w:t>
            </w:r>
          </w:p>
          <w:p w14:paraId="61C8FE88" w14:textId="2930E6B2" w:rsidR="001838CC" w:rsidRDefault="00D536D6" w:rsidP="001838CC">
            <w:pPr>
              <w:pStyle w:val="Paragraphedeliste"/>
              <w:spacing w:before="120" w:after="120"/>
              <w:ind w:left="284" w:hanging="1"/>
              <w:contextualSpacing w:val="0"/>
              <w:jc w:val="both"/>
            </w:pPr>
            <w:r>
              <w:t>Pour la Faculté d’éducation de l’</w:t>
            </w:r>
            <w:proofErr w:type="spellStart"/>
            <w:r>
              <w:t>UdeS</w:t>
            </w:r>
            <w:proofErr w:type="spellEnd"/>
            <w:r>
              <w:t>, a</w:t>
            </w:r>
            <w:r w:rsidR="00690E24">
              <w:t xml:space="preserve">ucun avenant n’est nécessaire pour un changement de lieu d’études lors </w:t>
            </w:r>
            <w:r w:rsidR="00AC2B3F">
              <w:t>d’</w:t>
            </w:r>
            <w:r w:rsidR="00690E24">
              <w:t>un trimestre donné, par rapport à ce qui était prévu dans les périodes prévisionnelles dans la convention, en autant que soi</w:t>
            </w:r>
            <w:r w:rsidR="001838CC">
              <w:t>en</w:t>
            </w:r>
            <w:r w:rsidR="00690E24">
              <w:t>t respecté</w:t>
            </w:r>
            <w:r w:rsidR="001838CC">
              <w:t>es</w:t>
            </w:r>
            <w:r w:rsidR="00690E24">
              <w:t xml:space="preserve"> l</w:t>
            </w:r>
            <w:r w:rsidR="001838CC">
              <w:t>es</w:t>
            </w:r>
            <w:r w:rsidR="00690E24">
              <w:t xml:space="preserve"> règle</w:t>
            </w:r>
            <w:r w:rsidR="001838CC">
              <w:t>s du point 4 c</w:t>
            </w:r>
            <w:r w:rsidR="006D2579">
              <w:t>i</w:t>
            </w:r>
            <w:r w:rsidR="001838CC">
              <w:t>-dessus.</w:t>
            </w:r>
            <w:r w:rsidR="00690E24">
              <w:t xml:space="preserve"> </w:t>
            </w:r>
            <w:r w:rsidR="001124A6">
              <w:t>Cependant</w:t>
            </w:r>
            <w:r w:rsidR="00067B15">
              <w:t>,</w:t>
            </w:r>
            <w:r w:rsidR="00B547E3">
              <w:t xml:space="preserve"> une lettre signée par </w:t>
            </w:r>
            <w:r w:rsidR="00AE3B8C">
              <w:t>la doctorante</w:t>
            </w:r>
            <w:r w:rsidR="00602886">
              <w:t xml:space="preserve"> ou </w:t>
            </w:r>
            <w:r w:rsidR="00AE3B8C">
              <w:t>le doctorant</w:t>
            </w:r>
            <w:r w:rsidR="00B547E3">
              <w:t xml:space="preserve"> et </w:t>
            </w:r>
            <w:r>
              <w:t>les membres de l’équipe de direction</w:t>
            </w:r>
            <w:r w:rsidR="00B547E3">
              <w:t xml:space="preserve"> de thèse indiquant les modifications dans la planification des périodes prévisionnelles doit être </w:t>
            </w:r>
            <w:r w:rsidR="006F7D92">
              <w:t>transmise</w:t>
            </w:r>
            <w:r w:rsidR="00B547E3">
              <w:t xml:space="preserve"> au secrétariat des </w:t>
            </w:r>
            <w:r w:rsidR="00AC2B3F">
              <w:t>programmes facultaires d’</w:t>
            </w:r>
            <w:r w:rsidR="00B547E3">
              <w:t>études supérieure</w:t>
            </w:r>
            <w:r w:rsidR="00412E7D">
              <w:t>s</w:t>
            </w:r>
            <w:r w:rsidR="00B547E3">
              <w:t xml:space="preserve"> </w:t>
            </w:r>
            <w:r w:rsidR="001838CC">
              <w:t>(</w:t>
            </w:r>
            <w:hyperlink r:id="rId21" w:history="1">
              <w:r w:rsidR="001838CC" w:rsidRPr="00336925">
                <w:rPr>
                  <w:rStyle w:val="Lienhypertexte"/>
                </w:rPr>
                <w:t>pfes.education@USherbrooke.ca</w:t>
              </w:r>
            </w:hyperlink>
            <w:r w:rsidR="001838CC">
              <w:t>).</w:t>
            </w:r>
          </w:p>
          <w:p w14:paraId="01061E5D" w14:textId="7CFD367F" w:rsidR="00690E24" w:rsidRDefault="006F7D92" w:rsidP="001838CC">
            <w:pPr>
              <w:pStyle w:val="Paragraphedeliste"/>
              <w:spacing w:before="120" w:after="120"/>
              <w:ind w:left="284" w:hanging="1"/>
              <w:contextualSpacing w:val="0"/>
              <w:jc w:val="both"/>
              <w:rPr>
                <w:smallCaps/>
              </w:rPr>
            </w:pPr>
            <w:r w:rsidRPr="003A31C6">
              <w:rPr>
                <w:b/>
                <w:bCs/>
              </w:rPr>
              <w:t>Note</w:t>
            </w:r>
            <w:r w:rsidRPr="003A31C6">
              <w:t xml:space="preserve"> : </w:t>
            </w:r>
            <w:r w:rsidR="00690E24" w:rsidRPr="003A31C6">
              <w:t xml:space="preserve">Les secrétariats respectifs des établissements doivent être informés en tout temps du lieu d’études de </w:t>
            </w:r>
            <w:r w:rsidR="00AE3B8C" w:rsidRPr="003A31C6">
              <w:t>la doctorante</w:t>
            </w:r>
            <w:r w:rsidR="00690E24" w:rsidRPr="003A31C6">
              <w:t xml:space="preserve"> ou </w:t>
            </w:r>
            <w:r w:rsidR="00AE3B8C" w:rsidRPr="003A31C6">
              <w:t>du doctorant</w:t>
            </w:r>
            <w:r w:rsidR="00690E24" w:rsidRPr="003A31C6">
              <w:t>.</w:t>
            </w:r>
          </w:p>
        </w:tc>
      </w:tr>
    </w:tbl>
    <w:p w14:paraId="021C27A9" w14:textId="77777777" w:rsidR="00736E4D" w:rsidRDefault="00736E4D"/>
    <w:sectPr w:rsidR="00736E4D" w:rsidSect="00C86B32">
      <w:headerReference w:type="default" r:id="rId22"/>
      <w:footerReference w:type="default" r:id="rId23"/>
      <w:pgSz w:w="12240" w:h="15840"/>
      <w:pgMar w:top="1077" w:right="1191" w:bottom="107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20B8" w14:textId="77777777" w:rsidR="00C07716" w:rsidRDefault="00C07716" w:rsidP="00736E4D">
      <w:pPr>
        <w:spacing w:after="0" w:line="240" w:lineRule="auto"/>
      </w:pPr>
      <w:r>
        <w:separator/>
      </w:r>
    </w:p>
  </w:endnote>
  <w:endnote w:type="continuationSeparator" w:id="0">
    <w:p w14:paraId="680CC7B0" w14:textId="77777777" w:rsidR="00C07716" w:rsidRDefault="00C07716" w:rsidP="0073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032296"/>
      <w:docPartObj>
        <w:docPartGallery w:val="Page Numbers (Bottom of Page)"/>
        <w:docPartUnique/>
      </w:docPartObj>
    </w:sdtPr>
    <w:sdtEndPr/>
    <w:sdtContent>
      <w:p w14:paraId="20B23EF9" w14:textId="3C59DBB0" w:rsidR="006179CF" w:rsidRDefault="006179CF">
        <w:pPr>
          <w:pStyle w:val="Pieddepage"/>
          <w:jc w:val="center"/>
        </w:pPr>
        <w:r>
          <w:fldChar w:fldCharType="begin"/>
        </w:r>
        <w:r>
          <w:instrText>PAGE   \* MERGEFORMAT</w:instrText>
        </w:r>
        <w:r>
          <w:fldChar w:fldCharType="separate"/>
        </w:r>
        <w:r w:rsidR="000A727C" w:rsidRPr="000A727C">
          <w:rPr>
            <w:noProof/>
            <w:lang w:val="fr-FR"/>
          </w:rPr>
          <w:t>4</w:t>
        </w:r>
        <w:r>
          <w:fldChar w:fldCharType="end"/>
        </w:r>
      </w:p>
    </w:sdtContent>
  </w:sdt>
  <w:p w14:paraId="7126A641" w14:textId="77777777" w:rsidR="006179CF" w:rsidRDefault="006179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0F7C" w14:textId="77777777" w:rsidR="00C07716" w:rsidRDefault="00C07716" w:rsidP="00736E4D">
      <w:pPr>
        <w:spacing w:after="0" w:line="240" w:lineRule="auto"/>
      </w:pPr>
      <w:r>
        <w:separator/>
      </w:r>
    </w:p>
  </w:footnote>
  <w:footnote w:type="continuationSeparator" w:id="0">
    <w:p w14:paraId="19357C61" w14:textId="77777777" w:rsidR="00C07716" w:rsidRDefault="00C07716" w:rsidP="00736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2F8F" w14:textId="77777777" w:rsidR="00736E4D" w:rsidRPr="00736E4D" w:rsidRDefault="00426799" w:rsidP="00736E4D">
    <w:pPr>
      <w:pStyle w:val="En-tte"/>
      <w:jc w:val="right"/>
      <w:rPr>
        <w:b/>
        <w:sz w:val="18"/>
      </w:rPr>
    </w:pPr>
    <w:r>
      <w:rPr>
        <w:b/>
        <w:sz w:val="18"/>
      </w:rPr>
      <w:t xml:space="preserve">Conventions de cotutelle </w:t>
    </w:r>
    <w:r w:rsidR="00736E4D" w:rsidRPr="00736E4D">
      <w:rPr>
        <w:b/>
        <w:sz w:val="18"/>
      </w:rPr>
      <w:t>- étapes</w:t>
    </w:r>
  </w:p>
  <w:p w14:paraId="11938FEF" w14:textId="0C3A8F03" w:rsidR="00582235" w:rsidRDefault="00582235" w:rsidP="00736E4D">
    <w:pPr>
      <w:pStyle w:val="En-tte"/>
      <w:jc w:val="right"/>
      <w:rPr>
        <w:sz w:val="18"/>
      </w:rPr>
    </w:pPr>
    <w:r>
      <w:rPr>
        <w:sz w:val="18"/>
      </w:rPr>
      <w:t>Doctorat en éducation</w:t>
    </w:r>
  </w:p>
  <w:p w14:paraId="67096A85" w14:textId="6B96C1BE" w:rsidR="00736E4D" w:rsidRPr="00AE3B8C" w:rsidRDefault="00736E4D" w:rsidP="00736E4D">
    <w:pPr>
      <w:pStyle w:val="En-tte"/>
      <w:jc w:val="right"/>
      <w:rPr>
        <w:sz w:val="16"/>
        <w:szCs w:val="20"/>
      </w:rPr>
    </w:pPr>
    <w:r w:rsidRPr="00AE3B8C">
      <w:rPr>
        <w:sz w:val="16"/>
        <w:szCs w:val="20"/>
      </w:rPr>
      <w:t>Document préparé par Liane Desharnais, conseillère pédagogique</w:t>
    </w:r>
  </w:p>
  <w:p w14:paraId="0B98B996" w14:textId="271F9731" w:rsidR="00DC6D41" w:rsidRPr="00AE3B8C" w:rsidRDefault="00CB73CF" w:rsidP="00CF36F9">
    <w:pPr>
      <w:pStyle w:val="En-tte"/>
      <w:jc w:val="right"/>
      <w:rPr>
        <w:sz w:val="16"/>
        <w:szCs w:val="20"/>
      </w:rPr>
    </w:pPr>
    <w:r w:rsidRPr="00AE3B8C">
      <w:rPr>
        <w:sz w:val="16"/>
        <w:szCs w:val="20"/>
      </w:rPr>
      <w:t xml:space="preserve">En vigueur depuis </w:t>
    </w:r>
    <w:r w:rsidR="00E42AAF" w:rsidRPr="00AE3B8C">
      <w:rPr>
        <w:sz w:val="16"/>
        <w:szCs w:val="20"/>
      </w:rPr>
      <w:t xml:space="preserve">le </w:t>
    </w:r>
    <w:r w:rsidR="00F61C56" w:rsidRPr="00AE3B8C">
      <w:rPr>
        <w:sz w:val="16"/>
        <w:szCs w:val="20"/>
      </w:rPr>
      <w:t>1</w:t>
    </w:r>
    <w:r w:rsidR="00B4707C" w:rsidRPr="00AE3B8C">
      <w:rPr>
        <w:sz w:val="16"/>
        <w:szCs w:val="20"/>
      </w:rPr>
      <w:t>3</w:t>
    </w:r>
    <w:r w:rsidR="00736E4D" w:rsidRPr="00AE3B8C">
      <w:rPr>
        <w:sz w:val="16"/>
        <w:szCs w:val="20"/>
      </w:rPr>
      <w:t xml:space="preserve"> </w:t>
    </w:r>
    <w:r w:rsidR="00F61C56" w:rsidRPr="00AE3B8C">
      <w:rPr>
        <w:sz w:val="16"/>
        <w:szCs w:val="20"/>
      </w:rPr>
      <w:t>septembre</w:t>
    </w:r>
    <w:r w:rsidR="000839F0" w:rsidRPr="00AE3B8C">
      <w:rPr>
        <w:sz w:val="16"/>
        <w:szCs w:val="20"/>
      </w:rPr>
      <w:t xml:space="preserve"> </w:t>
    </w:r>
    <w:r w:rsidR="00736E4D" w:rsidRPr="00AE3B8C">
      <w:rPr>
        <w:sz w:val="16"/>
        <w:szCs w:val="20"/>
      </w:rPr>
      <w:t>201</w:t>
    </w:r>
    <w:r w:rsidR="00CF36F9" w:rsidRPr="00AE3B8C">
      <w:rPr>
        <w:sz w:val="16"/>
        <w:szCs w:val="20"/>
      </w:rPr>
      <w:t>8</w:t>
    </w:r>
  </w:p>
  <w:p w14:paraId="3D158764" w14:textId="746DD0B3" w:rsidR="00CB73CF" w:rsidRPr="00AE3B8C" w:rsidRDefault="00CB73CF" w:rsidP="00CF36F9">
    <w:pPr>
      <w:pStyle w:val="En-tte"/>
      <w:jc w:val="right"/>
      <w:rPr>
        <w:sz w:val="16"/>
        <w:szCs w:val="20"/>
      </w:rPr>
    </w:pPr>
    <w:r w:rsidRPr="00AE3B8C">
      <w:rPr>
        <w:sz w:val="16"/>
        <w:szCs w:val="20"/>
      </w:rPr>
      <w:t xml:space="preserve">Mise à jour </w:t>
    </w:r>
    <w:r w:rsidR="00AE3B8C" w:rsidRPr="00AE3B8C">
      <w:rPr>
        <w:sz w:val="16"/>
        <w:szCs w:val="20"/>
      </w:rPr>
      <w:t xml:space="preserve">effectuée </w:t>
    </w:r>
    <w:r w:rsidRPr="00AE3B8C">
      <w:rPr>
        <w:sz w:val="16"/>
        <w:szCs w:val="20"/>
      </w:rPr>
      <w:t xml:space="preserve">le </w:t>
    </w:r>
    <w:r w:rsidR="006F7D92">
      <w:rPr>
        <w:sz w:val="16"/>
        <w:szCs w:val="20"/>
      </w:rPr>
      <w:t>2</w:t>
    </w:r>
    <w:r w:rsidR="00D536D6">
      <w:rPr>
        <w:sz w:val="16"/>
        <w:szCs w:val="20"/>
      </w:rPr>
      <w:t>4</w:t>
    </w:r>
    <w:r w:rsidR="006F7D92">
      <w:rPr>
        <w:sz w:val="16"/>
        <w:szCs w:val="20"/>
      </w:rPr>
      <w:t xml:space="preserve"> février</w:t>
    </w:r>
    <w:r w:rsidR="003F0C6C">
      <w:rPr>
        <w:sz w:val="16"/>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138C"/>
    <w:multiLevelType w:val="hybridMultilevel"/>
    <w:tmpl w:val="4734FEC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15:restartNumberingAfterBreak="0">
    <w:nsid w:val="018B6136"/>
    <w:multiLevelType w:val="hybridMultilevel"/>
    <w:tmpl w:val="62D02CC2"/>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 w15:restartNumberingAfterBreak="0">
    <w:nsid w:val="0C374D8A"/>
    <w:multiLevelType w:val="hybridMultilevel"/>
    <w:tmpl w:val="F996788C"/>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 w15:restartNumberingAfterBreak="0">
    <w:nsid w:val="0E7B49C5"/>
    <w:multiLevelType w:val="hybridMultilevel"/>
    <w:tmpl w:val="9DFA229A"/>
    <w:lvl w:ilvl="0" w:tplc="C05C2B50">
      <w:start w:val="1"/>
      <w:numFmt w:val="decimal"/>
      <w:lvlText w:val="%1)"/>
      <w:lvlJc w:val="left"/>
      <w:pPr>
        <w:ind w:left="720" w:hanging="360"/>
      </w:pPr>
      <w:rPr>
        <w:rFonts w:hint="default"/>
        <w:b w:val="0"/>
      </w:rPr>
    </w:lvl>
    <w:lvl w:ilvl="1" w:tplc="0C0C0011">
      <w:start w:val="1"/>
      <w:numFmt w:val="decimal"/>
      <w:lvlText w:val="%2)"/>
      <w:lvlJc w:val="left"/>
      <w:pPr>
        <w:ind w:left="1500" w:hanging="42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6877B3A"/>
    <w:multiLevelType w:val="hybridMultilevel"/>
    <w:tmpl w:val="2DFEF78A"/>
    <w:lvl w:ilvl="0" w:tplc="06927964">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991245"/>
    <w:multiLevelType w:val="hybridMultilevel"/>
    <w:tmpl w:val="3BA48CF8"/>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6" w15:restartNumberingAfterBreak="0">
    <w:nsid w:val="1F897F9D"/>
    <w:multiLevelType w:val="hybridMultilevel"/>
    <w:tmpl w:val="E0F83632"/>
    <w:lvl w:ilvl="0" w:tplc="0C0C0005">
      <w:start w:val="1"/>
      <w:numFmt w:val="bullet"/>
      <w:lvlText w:val=""/>
      <w:lvlJc w:val="left"/>
      <w:pPr>
        <w:ind w:left="1434" w:hanging="360"/>
      </w:pPr>
      <w:rPr>
        <w:rFonts w:ascii="Wingdings" w:hAnsi="Wingdings"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7" w15:restartNumberingAfterBreak="0">
    <w:nsid w:val="3A602D89"/>
    <w:multiLevelType w:val="hybridMultilevel"/>
    <w:tmpl w:val="19A8BF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7D350C"/>
    <w:multiLevelType w:val="hybridMultilevel"/>
    <w:tmpl w:val="98FA2C5A"/>
    <w:lvl w:ilvl="0" w:tplc="0C0C000B">
      <w:start w:val="1"/>
      <w:numFmt w:val="bullet"/>
      <w:lvlText w:val=""/>
      <w:lvlJc w:val="left"/>
      <w:pPr>
        <w:ind w:left="1364" w:hanging="360"/>
      </w:pPr>
      <w:rPr>
        <w:rFonts w:ascii="Wingdings" w:hAnsi="Wingdings" w:hint="default"/>
      </w:rPr>
    </w:lvl>
    <w:lvl w:ilvl="1" w:tplc="0C0C0003" w:tentative="1">
      <w:start w:val="1"/>
      <w:numFmt w:val="bullet"/>
      <w:lvlText w:val="o"/>
      <w:lvlJc w:val="left"/>
      <w:pPr>
        <w:ind w:left="2084" w:hanging="360"/>
      </w:pPr>
      <w:rPr>
        <w:rFonts w:ascii="Courier New" w:hAnsi="Courier New" w:cs="Courier New" w:hint="default"/>
      </w:rPr>
    </w:lvl>
    <w:lvl w:ilvl="2" w:tplc="0C0C0005" w:tentative="1">
      <w:start w:val="1"/>
      <w:numFmt w:val="bullet"/>
      <w:lvlText w:val=""/>
      <w:lvlJc w:val="left"/>
      <w:pPr>
        <w:ind w:left="2804" w:hanging="360"/>
      </w:pPr>
      <w:rPr>
        <w:rFonts w:ascii="Wingdings" w:hAnsi="Wingdings" w:hint="default"/>
      </w:rPr>
    </w:lvl>
    <w:lvl w:ilvl="3" w:tplc="0C0C0001" w:tentative="1">
      <w:start w:val="1"/>
      <w:numFmt w:val="bullet"/>
      <w:lvlText w:val=""/>
      <w:lvlJc w:val="left"/>
      <w:pPr>
        <w:ind w:left="3524" w:hanging="360"/>
      </w:pPr>
      <w:rPr>
        <w:rFonts w:ascii="Symbol" w:hAnsi="Symbol" w:hint="default"/>
      </w:rPr>
    </w:lvl>
    <w:lvl w:ilvl="4" w:tplc="0C0C0003" w:tentative="1">
      <w:start w:val="1"/>
      <w:numFmt w:val="bullet"/>
      <w:lvlText w:val="o"/>
      <w:lvlJc w:val="left"/>
      <w:pPr>
        <w:ind w:left="4244" w:hanging="360"/>
      </w:pPr>
      <w:rPr>
        <w:rFonts w:ascii="Courier New" w:hAnsi="Courier New" w:cs="Courier New" w:hint="default"/>
      </w:rPr>
    </w:lvl>
    <w:lvl w:ilvl="5" w:tplc="0C0C0005" w:tentative="1">
      <w:start w:val="1"/>
      <w:numFmt w:val="bullet"/>
      <w:lvlText w:val=""/>
      <w:lvlJc w:val="left"/>
      <w:pPr>
        <w:ind w:left="4964" w:hanging="360"/>
      </w:pPr>
      <w:rPr>
        <w:rFonts w:ascii="Wingdings" w:hAnsi="Wingdings" w:hint="default"/>
      </w:rPr>
    </w:lvl>
    <w:lvl w:ilvl="6" w:tplc="0C0C0001" w:tentative="1">
      <w:start w:val="1"/>
      <w:numFmt w:val="bullet"/>
      <w:lvlText w:val=""/>
      <w:lvlJc w:val="left"/>
      <w:pPr>
        <w:ind w:left="5684" w:hanging="360"/>
      </w:pPr>
      <w:rPr>
        <w:rFonts w:ascii="Symbol" w:hAnsi="Symbol" w:hint="default"/>
      </w:rPr>
    </w:lvl>
    <w:lvl w:ilvl="7" w:tplc="0C0C0003" w:tentative="1">
      <w:start w:val="1"/>
      <w:numFmt w:val="bullet"/>
      <w:lvlText w:val="o"/>
      <w:lvlJc w:val="left"/>
      <w:pPr>
        <w:ind w:left="6404" w:hanging="360"/>
      </w:pPr>
      <w:rPr>
        <w:rFonts w:ascii="Courier New" w:hAnsi="Courier New" w:cs="Courier New" w:hint="default"/>
      </w:rPr>
    </w:lvl>
    <w:lvl w:ilvl="8" w:tplc="0C0C0005" w:tentative="1">
      <w:start w:val="1"/>
      <w:numFmt w:val="bullet"/>
      <w:lvlText w:val=""/>
      <w:lvlJc w:val="left"/>
      <w:pPr>
        <w:ind w:left="7124" w:hanging="360"/>
      </w:pPr>
      <w:rPr>
        <w:rFonts w:ascii="Wingdings" w:hAnsi="Wingdings" w:hint="default"/>
      </w:rPr>
    </w:lvl>
  </w:abstractNum>
  <w:abstractNum w:abstractNumId="9" w15:restartNumberingAfterBreak="0">
    <w:nsid w:val="4AE90678"/>
    <w:multiLevelType w:val="hybridMultilevel"/>
    <w:tmpl w:val="C0C023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E625D7A"/>
    <w:multiLevelType w:val="hybridMultilevel"/>
    <w:tmpl w:val="B374E9F8"/>
    <w:lvl w:ilvl="0" w:tplc="EDC8A034">
      <w:start w:val="1"/>
      <w:numFmt w:val="decimal"/>
      <w:lvlText w:val="%1."/>
      <w:lvlJc w:val="left"/>
      <w:pPr>
        <w:ind w:left="10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3A82430"/>
    <w:multiLevelType w:val="hybridMultilevel"/>
    <w:tmpl w:val="094E59F4"/>
    <w:lvl w:ilvl="0" w:tplc="C124F224">
      <w:start w:val="1"/>
      <w:numFmt w:val="low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2" w15:restartNumberingAfterBreak="0">
    <w:nsid w:val="5784227C"/>
    <w:multiLevelType w:val="hybridMultilevel"/>
    <w:tmpl w:val="5CD02694"/>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3" w15:restartNumberingAfterBreak="0">
    <w:nsid w:val="6CFE1AA2"/>
    <w:multiLevelType w:val="hybridMultilevel"/>
    <w:tmpl w:val="EEC81D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E4A5C99"/>
    <w:multiLevelType w:val="hybridMultilevel"/>
    <w:tmpl w:val="C440808A"/>
    <w:lvl w:ilvl="0" w:tplc="D0E4747A">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9"/>
  </w:num>
  <w:num w:numId="5">
    <w:abstractNumId w:val="2"/>
  </w:num>
  <w:num w:numId="6">
    <w:abstractNumId w:val="10"/>
  </w:num>
  <w:num w:numId="7">
    <w:abstractNumId w:val="4"/>
  </w:num>
  <w:num w:numId="8">
    <w:abstractNumId w:val="1"/>
  </w:num>
  <w:num w:numId="9">
    <w:abstractNumId w:val="3"/>
  </w:num>
  <w:num w:numId="10">
    <w:abstractNumId w:val="5"/>
  </w:num>
  <w:num w:numId="11">
    <w:abstractNumId w:val="6"/>
  </w:num>
  <w:num w:numId="12">
    <w:abstractNumId w:val="11"/>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4D"/>
    <w:rsid w:val="0000363A"/>
    <w:rsid w:val="0000562D"/>
    <w:rsid w:val="00035421"/>
    <w:rsid w:val="000367B2"/>
    <w:rsid w:val="00041A3D"/>
    <w:rsid w:val="000450DC"/>
    <w:rsid w:val="000647A1"/>
    <w:rsid w:val="00067B15"/>
    <w:rsid w:val="000839F0"/>
    <w:rsid w:val="00086892"/>
    <w:rsid w:val="00095297"/>
    <w:rsid w:val="000A727C"/>
    <w:rsid w:val="001124A6"/>
    <w:rsid w:val="00112958"/>
    <w:rsid w:val="00122096"/>
    <w:rsid w:val="00150D60"/>
    <w:rsid w:val="001838CC"/>
    <w:rsid w:val="001A21DA"/>
    <w:rsid w:val="001B53D7"/>
    <w:rsid w:val="001B7EFD"/>
    <w:rsid w:val="001D0811"/>
    <w:rsid w:val="002124D4"/>
    <w:rsid w:val="00221CAD"/>
    <w:rsid w:val="00232F4B"/>
    <w:rsid w:val="00272D58"/>
    <w:rsid w:val="00292CAD"/>
    <w:rsid w:val="002B480B"/>
    <w:rsid w:val="002D6CDB"/>
    <w:rsid w:val="002F4645"/>
    <w:rsid w:val="002F76B7"/>
    <w:rsid w:val="00302284"/>
    <w:rsid w:val="00316257"/>
    <w:rsid w:val="00321D85"/>
    <w:rsid w:val="00342215"/>
    <w:rsid w:val="00350F27"/>
    <w:rsid w:val="00352CDF"/>
    <w:rsid w:val="00354B58"/>
    <w:rsid w:val="00373DAB"/>
    <w:rsid w:val="003A31C6"/>
    <w:rsid w:val="003A3FE7"/>
    <w:rsid w:val="003B72C2"/>
    <w:rsid w:val="003C6C19"/>
    <w:rsid w:val="003C754E"/>
    <w:rsid w:val="003F0C6C"/>
    <w:rsid w:val="00406F73"/>
    <w:rsid w:val="00412E7D"/>
    <w:rsid w:val="0041414D"/>
    <w:rsid w:val="00426799"/>
    <w:rsid w:val="00434EAD"/>
    <w:rsid w:val="00457B22"/>
    <w:rsid w:val="00484207"/>
    <w:rsid w:val="0048580C"/>
    <w:rsid w:val="00492E74"/>
    <w:rsid w:val="004A0794"/>
    <w:rsid w:val="004B0539"/>
    <w:rsid w:val="004D02F2"/>
    <w:rsid w:val="004D36CA"/>
    <w:rsid w:val="004D522B"/>
    <w:rsid w:val="004E611E"/>
    <w:rsid w:val="004F282C"/>
    <w:rsid w:val="0050035A"/>
    <w:rsid w:val="00504068"/>
    <w:rsid w:val="00515835"/>
    <w:rsid w:val="00534403"/>
    <w:rsid w:val="00547D6A"/>
    <w:rsid w:val="0055583A"/>
    <w:rsid w:val="00575D30"/>
    <w:rsid w:val="00582235"/>
    <w:rsid w:val="005B28E0"/>
    <w:rsid w:val="005D2159"/>
    <w:rsid w:val="005F7B53"/>
    <w:rsid w:val="00602886"/>
    <w:rsid w:val="006073C0"/>
    <w:rsid w:val="006179CF"/>
    <w:rsid w:val="0062019C"/>
    <w:rsid w:val="00622ED7"/>
    <w:rsid w:val="00626936"/>
    <w:rsid w:val="00647765"/>
    <w:rsid w:val="00665C02"/>
    <w:rsid w:val="00690E24"/>
    <w:rsid w:val="006B7442"/>
    <w:rsid w:val="006D2579"/>
    <w:rsid w:val="006E2222"/>
    <w:rsid w:val="006E3FF8"/>
    <w:rsid w:val="006F7D92"/>
    <w:rsid w:val="007005D2"/>
    <w:rsid w:val="00703CFA"/>
    <w:rsid w:val="00717E3E"/>
    <w:rsid w:val="00736E4D"/>
    <w:rsid w:val="007443E3"/>
    <w:rsid w:val="007454AC"/>
    <w:rsid w:val="007464C6"/>
    <w:rsid w:val="00746C32"/>
    <w:rsid w:val="00750A57"/>
    <w:rsid w:val="00757140"/>
    <w:rsid w:val="007926C2"/>
    <w:rsid w:val="007B03B5"/>
    <w:rsid w:val="007B5FDF"/>
    <w:rsid w:val="007C3E36"/>
    <w:rsid w:val="007C41BB"/>
    <w:rsid w:val="007D05E9"/>
    <w:rsid w:val="007D2E64"/>
    <w:rsid w:val="007E0079"/>
    <w:rsid w:val="007F780D"/>
    <w:rsid w:val="00802A9A"/>
    <w:rsid w:val="008111E7"/>
    <w:rsid w:val="008221C3"/>
    <w:rsid w:val="0083055D"/>
    <w:rsid w:val="00850886"/>
    <w:rsid w:val="008814A3"/>
    <w:rsid w:val="008853C9"/>
    <w:rsid w:val="00893A78"/>
    <w:rsid w:val="008A1291"/>
    <w:rsid w:val="008A1C60"/>
    <w:rsid w:val="008B3066"/>
    <w:rsid w:val="008B627B"/>
    <w:rsid w:val="008F6CCF"/>
    <w:rsid w:val="00912D78"/>
    <w:rsid w:val="00936E8C"/>
    <w:rsid w:val="00951EAC"/>
    <w:rsid w:val="009714EC"/>
    <w:rsid w:val="0098107F"/>
    <w:rsid w:val="009A116C"/>
    <w:rsid w:val="009A1270"/>
    <w:rsid w:val="009A2808"/>
    <w:rsid w:val="009A281A"/>
    <w:rsid w:val="009B3A7D"/>
    <w:rsid w:val="009B5208"/>
    <w:rsid w:val="009B6E54"/>
    <w:rsid w:val="009F0CB3"/>
    <w:rsid w:val="009F0F90"/>
    <w:rsid w:val="00A01DD7"/>
    <w:rsid w:val="00A17DF3"/>
    <w:rsid w:val="00A5170C"/>
    <w:rsid w:val="00A6394A"/>
    <w:rsid w:val="00A7565A"/>
    <w:rsid w:val="00A87A63"/>
    <w:rsid w:val="00AA6E69"/>
    <w:rsid w:val="00AC2B3F"/>
    <w:rsid w:val="00AC7297"/>
    <w:rsid w:val="00AE0254"/>
    <w:rsid w:val="00AE3B8C"/>
    <w:rsid w:val="00AF2164"/>
    <w:rsid w:val="00B2066F"/>
    <w:rsid w:val="00B27047"/>
    <w:rsid w:val="00B368DC"/>
    <w:rsid w:val="00B4036E"/>
    <w:rsid w:val="00B416B8"/>
    <w:rsid w:val="00B4707C"/>
    <w:rsid w:val="00B54676"/>
    <w:rsid w:val="00B547E3"/>
    <w:rsid w:val="00B6751F"/>
    <w:rsid w:val="00B76A52"/>
    <w:rsid w:val="00B93661"/>
    <w:rsid w:val="00B96053"/>
    <w:rsid w:val="00BA78FB"/>
    <w:rsid w:val="00BB2714"/>
    <w:rsid w:val="00BB71BB"/>
    <w:rsid w:val="00BC37A5"/>
    <w:rsid w:val="00BC703B"/>
    <w:rsid w:val="00BE151C"/>
    <w:rsid w:val="00BF7D50"/>
    <w:rsid w:val="00C07716"/>
    <w:rsid w:val="00C27017"/>
    <w:rsid w:val="00C414A5"/>
    <w:rsid w:val="00C538F6"/>
    <w:rsid w:val="00C540D1"/>
    <w:rsid w:val="00C66A17"/>
    <w:rsid w:val="00C80B71"/>
    <w:rsid w:val="00C81CFE"/>
    <w:rsid w:val="00C86B32"/>
    <w:rsid w:val="00CB1420"/>
    <w:rsid w:val="00CB73CF"/>
    <w:rsid w:val="00CC2AC7"/>
    <w:rsid w:val="00CF0782"/>
    <w:rsid w:val="00CF125B"/>
    <w:rsid w:val="00CF36F9"/>
    <w:rsid w:val="00D279AC"/>
    <w:rsid w:val="00D30685"/>
    <w:rsid w:val="00D536D6"/>
    <w:rsid w:val="00D77AF9"/>
    <w:rsid w:val="00DA7C4C"/>
    <w:rsid w:val="00DC6D41"/>
    <w:rsid w:val="00DF3189"/>
    <w:rsid w:val="00DF34AC"/>
    <w:rsid w:val="00DF54D1"/>
    <w:rsid w:val="00E04580"/>
    <w:rsid w:val="00E175BC"/>
    <w:rsid w:val="00E22A5F"/>
    <w:rsid w:val="00E42AAF"/>
    <w:rsid w:val="00E43EB7"/>
    <w:rsid w:val="00E62A5B"/>
    <w:rsid w:val="00EA1ED4"/>
    <w:rsid w:val="00EA5E1A"/>
    <w:rsid w:val="00EB02D1"/>
    <w:rsid w:val="00EB745D"/>
    <w:rsid w:val="00EF65A8"/>
    <w:rsid w:val="00F029C5"/>
    <w:rsid w:val="00F03718"/>
    <w:rsid w:val="00F10F89"/>
    <w:rsid w:val="00F32403"/>
    <w:rsid w:val="00F357AC"/>
    <w:rsid w:val="00F37D2B"/>
    <w:rsid w:val="00F61C56"/>
    <w:rsid w:val="00F817CD"/>
    <w:rsid w:val="00F845C5"/>
    <w:rsid w:val="00F975F4"/>
    <w:rsid w:val="00FA72F5"/>
    <w:rsid w:val="00FB73D0"/>
    <w:rsid w:val="00FD37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AF52B"/>
  <w15:docId w15:val="{2EE28ADF-4C89-41D1-84CA-30D93A64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6E4D"/>
    <w:pPr>
      <w:tabs>
        <w:tab w:val="center" w:pos="4320"/>
        <w:tab w:val="right" w:pos="8640"/>
      </w:tabs>
      <w:spacing w:after="0" w:line="240" w:lineRule="auto"/>
    </w:pPr>
  </w:style>
  <w:style w:type="character" w:customStyle="1" w:styleId="En-tteCar">
    <w:name w:val="En-tête Car"/>
    <w:basedOn w:val="Policepardfaut"/>
    <w:link w:val="En-tte"/>
    <w:uiPriority w:val="99"/>
    <w:rsid w:val="00736E4D"/>
  </w:style>
  <w:style w:type="paragraph" w:styleId="Pieddepage">
    <w:name w:val="footer"/>
    <w:basedOn w:val="Normal"/>
    <w:link w:val="PieddepageCar"/>
    <w:uiPriority w:val="99"/>
    <w:unhideWhenUsed/>
    <w:rsid w:val="00736E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36E4D"/>
  </w:style>
  <w:style w:type="paragraph" w:styleId="Textedebulles">
    <w:name w:val="Balloon Text"/>
    <w:basedOn w:val="Normal"/>
    <w:link w:val="TextedebullesCar"/>
    <w:uiPriority w:val="99"/>
    <w:semiHidden/>
    <w:unhideWhenUsed/>
    <w:rsid w:val="00736E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E4D"/>
    <w:rPr>
      <w:rFonts w:ascii="Tahoma" w:hAnsi="Tahoma" w:cs="Tahoma"/>
      <w:sz w:val="16"/>
      <w:szCs w:val="16"/>
    </w:rPr>
  </w:style>
  <w:style w:type="character" w:styleId="Lienhypertexte">
    <w:name w:val="Hyperlink"/>
    <w:basedOn w:val="Policepardfaut"/>
    <w:uiPriority w:val="99"/>
    <w:unhideWhenUsed/>
    <w:rsid w:val="00736E4D"/>
    <w:rPr>
      <w:color w:val="0000FF" w:themeColor="hyperlink"/>
      <w:u w:val="single"/>
    </w:rPr>
  </w:style>
  <w:style w:type="paragraph" w:styleId="Paragraphedeliste">
    <w:name w:val="List Paragraph"/>
    <w:basedOn w:val="Normal"/>
    <w:uiPriority w:val="34"/>
    <w:qFormat/>
    <w:rsid w:val="004F282C"/>
    <w:pPr>
      <w:ind w:left="720"/>
      <w:contextualSpacing/>
    </w:pPr>
  </w:style>
  <w:style w:type="table" w:styleId="Grilledutableau">
    <w:name w:val="Table Grid"/>
    <w:basedOn w:val="TableauNormal"/>
    <w:uiPriority w:val="59"/>
    <w:rsid w:val="007F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A1ED4"/>
    <w:rPr>
      <w:sz w:val="18"/>
      <w:szCs w:val="18"/>
    </w:rPr>
  </w:style>
  <w:style w:type="paragraph" w:styleId="Commentaire">
    <w:name w:val="annotation text"/>
    <w:basedOn w:val="Normal"/>
    <w:link w:val="CommentaireCar"/>
    <w:uiPriority w:val="99"/>
    <w:semiHidden/>
    <w:unhideWhenUsed/>
    <w:rsid w:val="00EA1ED4"/>
    <w:pPr>
      <w:spacing w:line="240" w:lineRule="auto"/>
    </w:pPr>
    <w:rPr>
      <w:sz w:val="24"/>
      <w:szCs w:val="24"/>
    </w:rPr>
  </w:style>
  <w:style w:type="character" w:customStyle="1" w:styleId="CommentaireCar">
    <w:name w:val="Commentaire Car"/>
    <w:basedOn w:val="Policepardfaut"/>
    <w:link w:val="Commentaire"/>
    <w:uiPriority w:val="99"/>
    <w:semiHidden/>
    <w:rsid w:val="00EA1ED4"/>
    <w:rPr>
      <w:sz w:val="24"/>
      <w:szCs w:val="24"/>
    </w:rPr>
  </w:style>
  <w:style w:type="paragraph" w:styleId="Objetducommentaire">
    <w:name w:val="annotation subject"/>
    <w:basedOn w:val="Commentaire"/>
    <w:next w:val="Commentaire"/>
    <w:link w:val="ObjetducommentaireCar"/>
    <w:uiPriority w:val="99"/>
    <w:semiHidden/>
    <w:unhideWhenUsed/>
    <w:rsid w:val="00EA1ED4"/>
    <w:rPr>
      <w:b/>
      <w:bCs/>
      <w:sz w:val="20"/>
      <w:szCs w:val="20"/>
    </w:rPr>
  </w:style>
  <w:style w:type="character" w:customStyle="1" w:styleId="ObjetducommentaireCar">
    <w:name w:val="Objet du commentaire Car"/>
    <w:basedOn w:val="CommentaireCar"/>
    <w:link w:val="Objetducommentaire"/>
    <w:uiPriority w:val="99"/>
    <w:semiHidden/>
    <w:rsid w:val="00EA1ED4"/>
    <w:rPr>
      <w:b/>
      <w:bCs/>
      <w:sz w:val="20"/>
      <w:szCs w:val="20"/>
    </w:rPr>
  </w:style>
  <w:style w:type="character" w:styleId="Mentionnonrsolue">
    <w:name w:val="Unresolved Mention"/>
    <w:basedOn w:val="Policepardfaut"/>
    <w:uiPriority w:val="99"/>
    <w:semiHidden/>
    <w:unhideWhenUsed/>
    <w:rsid w:val="00582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86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Sherbrooke.ca" TargetMode="External"/><Relationship Id="rId13" Type="http://schemas.openxmlformats.org/officeDocument/2006/relationships/hyperlink" Target="http://www.usherbrooke.ca/admission/couts-et-aide-financiere/frais-de-scolarite/" TargetMode="External"/><Relationship Id="rId18" Type="http://schemas.openxmlformats.org/officeDocument/2006/relationships/hyperlink" Target="mailto:international@USherbrooke.ca" TargetMode="External"/><Relationship Id="rId3" Type="http://schemas.openxmlformats.org/officeDocument/2006/relationships/settings" Target="settings.xml"/><Relationship Id="rId21" Type="http://schemas.openxmlformats.org/officeDocument/2006/relationships/hyperlink" Target="mailto:pfes.education@USherbrooke.ca" TargetMode="External"/><Relationship Id="rId7" Type="http://schemas.openxmlformats.org/officeDocument/2006/relationships/image" Target="media/image1.png"/><Relationship Id="rId12" Type="http://schemas.openxmlformats.org/officeDocument/2006/relationships/hyperlink" Target="http://www.usherbrooke.ca/etudiants-internationaux/fr/" TargetMode="External"/><Relationship Id="rId17" Type="http://schemas.openxmlformats.org/officeDocument/2006/relationships/hyperlink" Target="mailto:pfes.education@USherbrooke.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ternational@USherbrooke.ca" TargetMode="External"/><Relationship Id="rId20" Type="http://schemas.openxmlformats.org/officeDocument/2006/relationships/hyperlink" Target="http://www.usherbrooke.ca/etudiants-internationaux/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USherbrooke.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fes.education@USherbrooke.ca" TargetMode="External"/><Relationship Id="rId23" Type="http://schemas.openxmlformats.org/officeDocument/2006/relationships/footer" Target="footer1.xml"/><Relationship Id="rId10" Type="http://schemas.openxmlformats.org/officeDocument/2006/relationships/hyperlink" Target="http://www.usherbrooke.ca/pfes/doctorat-education/cotutelle-de-these/" TargetMode="External"/><Relationship Id="rId19" Type="http://schemas.openxmlformats.org/officeDocument/2006/relationships/hyperlink" Target="mailto:pfes.education@USherbrooke.ca" TargetMode="External"/><Relationship Id="rId4" Type="http://schemas.openxmlformats.org/officeDocument/2006/relationships/webSettings" Target="webSettings.xml"/><Relationship Id="rId9" Type="http://schemas.openxmlformats.org/officeDocument/2006/relationships/hyperlink" Target="http://www.usherbrooke.ca/international/fr/etudiants-udes/cotutelles-de-these/" TargetMode="External"/><Relationship Id="rId14" Type="http://schemas.openxmlformats.org/officeDocument/2006/relationships/hyperlink" Target="mailto:pfes.education@USherbrooke.ca"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2046</Words>
  <Characters>11258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Université de Sherbrooke</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Desharnais</dc:creator>
  <cp:lastModifiedBy>Liane Desharnais</cp:lastModifiedBy>
  <cp:revision>18</cp:revision>
  <cp:lastPrinted>2018-09-13T13:27:00Z</cp:lastPrinted>
  <dcterms:created xsi:type="dcterms:W3CDTF">2020-02-24T13:14:00Z</dcterms:created>
  <dcterms:modified xsi:type="dcterms:W3CDTF">2020-02-24T15:56:00Z</dcterms:modified>
</cp:coreProperties>
</file>