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50" w:rsidRDefault="006B0E50" w:rsidP="000D0A32">
      <w:pPr>
        <w:pBdr>
          <w:bottom w:val="single" w:sz="6" w:space="2" w:color="C8CABE"/>
        </w:pBdr>
        <w:shd w:val="clear" w:color="auto" w:fill="FFFFFF"/>
        <w:spacing w:before="144" w:after="192" w:line="240" w:lineRule="auto"/>
        <w:outlineLvl w:val="0"/>
        <w:rPr>
          <w:rFonts w:ascii="Arial" w:eastAsia="Times New Roman" w:hAnsi="Arial" w:cs="Arial"/>
          <w:color w:val="1D1D1D"/>
          <w:kern w:val="36"/>
          <w:sz w:val="48"/>
          <w:szCs w:val="48"/>
          <w:lang w:val="fr-CA" w:eastAsia="fr-CA"/>
        </w:rPr>
      </w:pPr>
      <w:r>
        <w:rPr>
          <w:rFonts w:ascii="Arial" w:eastAsia="Times New Roman" w:hAnsi="Arial" w:cs="Arial"/>
          <w:color w:val="1D1D1D"/>
          <w:kern w:val="36"/>
          <w:sz w:val="48"/>
          <w:szCs w:val="48"/>
          <w:lang w:val="fr-CA" w:eastAsia="fr-CA"/>
        </w:rPr>
        <w:t>ANNEXE au Guide</w:t>
      </w:r>
    </w:p>
    <w:p w:rsidR="000D0A32" w:rsidRPr="000D0A32" w:rsidRDefault="000D0A32" w:rsidP="000D0A32">
      <w:pPr>
        <w:pBdr>
          <w:bottom w:val="single" w:sz="6" w:space="2" w:color="C8CABE"/>
        </w:pBdr>
        <w:shd w:val="clear" w:color="auto" w:fill="FFFFFF"/>
        <w:spacing w:before="144" w:after="192" w:line="240" w:lineRule="auto"/>
        <w:outlineLvl w:val="0"/>
        <w:rPr>
          <w:rFonts w:ascii="Arial" w:eastAsia="Times New Roman" w:hAnsi="Arial" w:cs="Arial"/>
          <w:color w:val="1D1D1D"/>
          <w:kern w:val="36"/>
          <w:sz w:val="48"/>
          <w:szCs w:val="48"/>
          <w:lang w:val="fr-CA" w:eastAsia="fr-CA"/>
        </w:rPr>
      </w:pPr>
      <w:r w:rsidRPr="000D0A32">
        <w:rPr>
          <w:rFonts w:ascii="Arial" w:eastAsia="Times New Roman" w:hAnsi="Arial" w:cs="Arial"/>
          <w:color w:val="1D1D1D"/>
          <w:kern w:val="36"/>
          <w:sz w:val="48"/>
          <w:szCs w:val="48"/>
          <w:lang w:val="fr-CA" w:eastAsia="fr-CA"/>
        </w:rPr>
        <w:t>Issues possibles à l'évaluation de la thèse et de la soutenance</w:t>
      </w:r>
    </w:p>
    <w:p w:rsidR="000D0A32" w:rsidRPr="000D0A32" w:rsidRDefault="000D0A32" w:rsidP="000D0A32">
      <w:pPr>
        <w:shd w:val="clear" w:color="auto" w:fill="FFFFFF"/>
        <w:spacing w:before="192" w:after="192" w:line="240" w:lineRule="auto"/>
        <w:outlineLvl w:val="1"/>
        <w:rPr>
          <w:rFonts w:ascii="Arial" w:eastAsia="Times New Roman" w:hAnsi="Arial" w:cs="Arial"/>
          <w:color w:val="1D1D1D"/>
          <w:sz w:val="36"/>
          <w:szCs w:val="36"/>
          <w:lang w:val="fr-CA" w:eastAsia="fr-CA"/>
        </w:rPr>
      </w:pPr>
      <w:r w:rsidRPr="000D0A32">
        <w:rPr>
          <w:rFonts w:ascii="Arial" w:eastAsia="Times New Roman" w:hAnsi="Arial" w:cs="Arial"/>
          <w:color w:val="1D1D1D"/>
          <w:sz w:val="36"/>
          <w:szCs w:val="36"/>
          <w:lang w:val="fr-CA" w:eastAsia="fr-CA"/>
        </w:rPr>
        <w:t>Suites possibles à l'évaluation de la thèse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À la suite du dépôt de tous les rapports d’évaluation auprès du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,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la vice-doyenne ou le vice-doyen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, en concertation avec la directrice ou le directeur de thèse, détermine le type d'issue à l'évaluation de la thèse :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4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a) acceptation unanime du jury aux fins de soutenance de la thèse sans corrections;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4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b) acceptation unanime du jury aux fins de soutenance de la thèse avec corrections mineures avant ou après la soutenance;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4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c) acceptation unanime avec corrections majeures de la thèse et relecture du jury avant la soutenance;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4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d) acceptation majoritaire du jury aux</w:t>
      </w:r>
      <w:r w:rsidR="007F7D1C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fins de soutenance de la thèse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;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4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e) refus unanime;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4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f) refus majoritaire.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À la suite de cette décision,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envoie les rapports d'évaluation à l'étudiante ou à l'étudiant avec, au besoin, une synthèse des rapports d’évaluation rédigée par la directrice ou le directeur de thèse.</w:t>
      </w:r>
    </w:p>
    <w:p w:rsidR="000D0A32" w:rsidRPr="000D0A32" w:rsidRDefault="007F7D1C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a) </w:t>
      </w:r>
      <w:r w:rsidR="000D0A32"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s’il y a acceptation unanime du jury aux fins de soutenance de la thèse sans corrections</w:t>
      </w:r>
    </w:p>
    <w:p w:rsidR="000D0A32" w:rsidRPr="000D0A32" w:rsidRDefault="005F5E81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="000D0A32"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voit à l’organisation de la soutenance.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b) s’il y a acceptation unanime du jury aux fins de soutenance de la thèse avec corrections mineures avant ou après la soutenance</w:t>
      </w:r>
    </w:p>
    <w:p w:rsidR="000D0A32" w:rsidRPr="000D0A32" w:rsidRDefault="005F5E81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lastRenderedPageBreak/>
        <w:t>Le vice-décanat de la FASAP</w:t>
      </w:r>
      <w:r w:rsidR="000D0A32"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voit à l’organisation de la soutenance.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Les corrections mineures dont il faudra tenir compte lors de la soutenance, tel que stipulées dans la synthèse des rapports d’évaluation, seront intégrées avant ou après la soutenance.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c) s’il y a acceptation unanime avec corrections majeures de la thèse avec relecture du jury avant la soutenance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L’étudiante ou l’étudiant devra déposer au secrétariat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du 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, dans le délai prescrit, la version corrigée de sa thèse qui sera évaluée par le même jury. Le jury pourra alors demander des corrections mineures, accepter ou refuser la thèse.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Il ne peut pas y avoir une demande d’autres corrections majeures.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Lorsque les corrections à faire avant la soutenance sont effectuées à la satisfaction du jury,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voit à l’organisation de la soutenance.</w:t>
      </w:r>
    </w:p>
    <w:p w:rsidR="000D0A32" w:rsidRPr="000D0A32" w:rsidRDefault="007F7D1C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d) </w:t>
      </w:r>
      <w:r w:rsidR="000D0A32"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s’il y a acceptation majoritaire du jury aux fins de soutenance de la thèse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Une décision majoritaire permet à l’étudiante ou à l’étudiant de soutenir sa thèse.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voit à l’organisation de la soutenance.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Après la soutenance, la note R ou E est attribuée.</w:t>
      </w:r>
    </w:p>
    <w:p w:rsidR="000D0A32" w:rsidRPr="000D0A32" w:rsidRDefault="007F7D1C" w:rsidP="007F7D1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e) </w:t>
      </w:r>
      <w:r w:rsidR="000D0A32"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s’il y a refus unanime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Le refus unanime entraine la fin de la candidature.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avisera l’étudiante ou l’étudiant de la décision.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f) s’il y a refus majoritaire</w:t>
      </w:r>
    </w:p>
    <w:p w:rsid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Le refus majoritaire entraine la fin de la candidature.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avisera l’étudiante ou l’étudiant de la décision.</w:t>
      </w:r>
    </w:p>
    <w:p w:rsidR="005F5E81" w:rsidRDefault="005F5E81" w:rsidP="000D0A32">
      <w:pPr>
        <w:shd w:val="clear" w:color="auto" w:fill="FFFFFF"/>
        <w:spacing w:before="168" w:after="360" w:line="336" w:lineRule="atLeast"/>
        <w:ind w:right="119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</w:p>
    <w:p w:rsidR="005F5E81" w:rsidRPr="000D0A32" w:rsidRDefault="005F5E81" w:rsidP="000D0A32">
      <w:pPr>
        <w:shd w:val="clear" w:color="auto" w:fill="FFFFFF"/>
        <w:spacing w:before="168" w:after="360" w:line="336" w:lineRule="atLeast"/>
        <w:ind w:right="119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</w:p>
    <w:p w:rsidR="000D0A32" w:rsidRPr="000D0A32" w:rsidRDefault="000D0A32" w:rsidP="000D0A32">
      <w:pPr>
        <w:shd w:val="clear" w:color="auto" w:fill="FFFFFF"/>
        <w:spacing w:before="192" w:after="192" w:line="240" w:lineRule="auto"/>
        <w:outlineLvl w:val="1"/>
        <w:rPr>
          <w:rFonts w:ascii="Arial" w:eastAsia="Times New Roman" w:hAnsi="Arial" w:cs="Arial"/>
          <w:color w:val="1D1D1D"/>
          <w:sz w:val="36"/>
          <w:szCs w:val="36"/>
          <w:lang w:val="fr-CA" w:eastAsia="fr-CA"/>
        </w:rPr>
      </w:pPr>
      <w:r w:rsidRPr="000D0A32">
        <w:rPr>
          <w:rFonts w:ascii="Arial" w:eastAsia="Times New Roman" w:hAnsi="Arial" w:cs="Arial"/>
          <w:color w:val="1D1D1D"/>
          <w:sz w:val="36"/>
          <w:szCs w:val="36"/>
          <w:lang w:val="fr-CA" w:eastAsia="fr-CA"/>
        </w:rPr>
        <w:lastRenderedPageBreak/>
        <w:t>Suites possibles à l'évaluation de la soutenance de la thèse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Après la soutenance, la présidente ou le président de soutenance retourne au secrétariat </w:t>
      </w:r>
      <w:r w:rsidR="00BA0D0A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académique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le document intitulé Certificat de soutenance de thèse qui indique le résultat de la soutenance.</w:t>
      </w:r>
    </w:p>
    <w:p w:rsidR="000D0A32" w:rsidRPr="000D0A32" w:rsidRDefault="007F7D1C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a) </w:t>
      </w:r>
      <w:r w:rsidR="000D0A32"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s’il y a acceptation unanime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La présidente ou le président de soutenance fait parvenir au secrétariat </w:t>
      </w:r>
      <w:r w:rsidR="00BA0D0A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académique de la FASAP</w:t>
      </w:r>
      <w:r w:rsidR="007F7D1C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le </w:t>
      </w:r>
      <w:hyperlink r:id="rId6" w:history="1">
        <w:r w:rsidRPr="00881791">
          <w:rPr>
            <w:rStyle w:val="Lienhypertexte"/>
            <w:rFonts w:ascii="Arial" w:eastAsia="Times New Roman" w:hAnsi="Arial" w:cs="Arial"/>
            <w:sz w:val="21"/>
            <w:szCs w:val="21"/>
            <w:lang w:val="fr-CA" w:eastAsia="fr-CA"/>
          </w:rPr>
          <w:t>certificat de soutenance</w:t>
        </w:r>
      </w:hyperlink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.</w:t>
      </w:r>
    </w:p>
    <w:p w:rsidR="000D0A32" w:rsidRPr="000D0A32" w:rsidRDefault="007F7D1C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b) </w:t>
      </w:r>
      <w:r w:rsidR="000D0A32"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s’il y a acceptation majoritaire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La présidente ou le président de soutenance fait parvenir au secrétariat </w:t>
      </w:r>
      <w:r w:rsidR="00BA0D0A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académique de la FASAP</w:t>
      </w:r>
      <w:r w:rsidR="007F7D1C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le </w:t>
      </w:r>
      <w:hyperlink r:id="rId7" w:history="1">
        <w:r w:rsidRPr="00881791">
          <w:rPr>
            <w:rStyle w:val="Lienhypertexte"/>
            <w:rFonts w:ascii="Arial" w:eastAsia="Times New Roman" w:hAnsi="Arial" w:cs="Arial"/>
            <w:sz w:val="21"/>
            <w:szCs w:val="21"/>
            <w:lang w:val="fr-CA" w:eastAsia="fr-CA"/>
          </w:rPr>
          <w:t>certificat de soutenance</w:t>
        </w:r>
      </w:hyperlink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. Pour qu’une candidate ou un candidat se voie imposer des corrections substantielles après la soutenance, au moins trois des membres du jury doivent être de cet avis.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c) s’il y a refus unanime</w:t>
      </w:r>
    </w:p>
    <w:p w:rsidR="000D0A32" w:rsidRPr="000D0A32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La présidente ou le président de soutenance fait parvenir au secrétariat </w:t>
      </w:r>
      <w:r w:rsidR="00BA0D0A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académique de la FASAP</w:t>
      </w:r>
      <w:r w:rsidR="007F7D1C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le </w:t>
      </w:r>
      <w:hyperlink r:id="rId8" w:history="1">
        <w:r w:rsidRPr="00881791">
          <w:rPr>
            <w:rStyle w:val="Lienhypertexte"/>
            <w:rFonts w:ascii="Arial" w:eastAsia="Times New Roman" w:hAnsi="Arial" w:cs="Arial"/>
            <w:sz w:val="21"/>
            <w:szCs w:val="21"/>
            <w:lang w:val="fr-CA" w:eastAsia="fr-CA"/>
          </w:rPr>
          <w:t>certificat de soutenance</w:t>
        </w:r>
      </w:hyperlink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.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avisera officiellement l’étudiante ou l’étudiant de la fin de sa candidatu</w:t>
      </w:r>
      <w:bookmarkStart w:id="0" w:name="_GoBack"/>
      <w:bookmarkEnd w:id="0"/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re.</w:t>
      </w:r>
    </w:p>
    <w:p w:rsidR="000D0A32" w:rsidRPr="000D0A32" w:rsidRDefault="007F7D1C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d) </w:t>
      </w:r>
      <w:r w:rsidR="000D0A32" w:rsidRPr="000D0A32">
        <w:rPr>
          <w:rFonts w:ascii="Arial" w:eastAsia="Times New Roman" w:hAnsi="Arial" w:cs="Arial"/>
          <w:b/>
          <w:bCs/>
          <w:color w:val="3F3F3F"/>
          <w:sz w:val="21"/>
          <w:szCs w:val="21"/>
          <w:lang w:val="fr-CA" w:eastAsia="fr-CA"/>
        </w:rPr>
        <w:t>s’il y a refus majoritaire</w:t>
      </w:r>
    </w:p>
    <w:p w:rsidR="00902739" w:rsidRPr="007B743C" w:rsidRDefault="000D0A32" w:rsidP="007B743C">
      <w:pPr>
        <w:shd w:val="clear" w:color="auto" w:fill="FFFFFF"/>
        <w:spacing w:before="168" w:after="360" w:line="336" w:lineRule="atLeast"/>
        <w:ind w:right="119"/>
        <w:jc w:val="both"/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</w:pP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La présidente ou le président de soutenance fait parvenir au secrétariat </w:t>
      </w:r>
      <w:r w:rsidR="00BA0D0A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académique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le </w:t>
      </w:r>
      <w:hyperlink r:id="rId9" w:history="1">
        <w:r w:rsidRPr="00881791">
          <w:rPr>
            <w:rStyle w:val="Lienhypertexte"/>
            <w:rFonts w:ascii="Arial" w:eastAsia="Times New Roman" w:hAnsi="Arial" w:cs="Arial"/>
            <w:sz w:val="21"/>
            <w:szCs w:val="21"/>
            <w:lang w:val="fr-CA" w:eastAsia="fr-CA"/>
          </w:rPr>
          <w:t>certificat de soutenance</w:t>
        </w:r>
      </w:hyperlink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. </w:t>
      </w:r>
      <w:r w:rsidR="005F5E81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>Le vice-décanat de la FASAP</w:t>
      </w:r>
      <w:r w:rsidRPr="000D0A32">
        <w:rPr>
          <w:rFonts w:ascii="Arial" w:eastAsia="Times New Roman" w:hAnsi="Arial" w:cs="Arial"/>
          <w:color w:val="3F3F3F"/>
          <w:sz w:val="21"/>
          <w:szCs w:val="21"/>
          <w:lang w:val="fr-CA" w:eastAsia="fr-CA"/>
        </w:rPr>
        <w:t xml:space="preserve"> avisera l’étudiante ou l’étudiant de la fin de sa candidature.</w:t>
      </w:r>
    </w:p>
    <w:sectPr w:rsidR="00902739" w:rsidRPr="007B743C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9C" w:rsidRDefault="0021139C" w:rsidP="0021139C">
      <w:pPr>
        <w:spacing w:after="0" w:line="240" w:lineRule="auto"/>
      </w:pPr>
      <w:r>
        <w:separator/>
      </w:r>
    </w:p>
  </w:endnote>
  <w:endnote w:type="continuationSeparator" w:id="0">
    <w:p w:rsidR="0021139C" w:rsidRDefault="0021139C" w:rsidP="0021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9C" w:rsidRPr="0021139C" w:rsidRDefault="0021139C">
    <w:pPr>
      <w:pStyle w:val="Pieddepage"/>
      <w:rPr>
        <w:i/>
        <w:sz w:val="16"/>
        <w:szCs w:val="16"/>
      </w:rPr>
    </w:pPr>
    <w:r w:rsidRPr="0021139C">
      <w:rPr>
        <w:i/>
        <w:sz w:val="16"/>
        <w:szCs w:val="16"/>
      </w:rPr>
      <w:fldChar w:fldCharType="begin"/>
    </w:r>
    <w:r w:rsidRPr="0021139C">
      <w:rPr>
        <w:i/>
        <w:sz w:val="16"/>
        <w:szCs w:val="16"/>
      </w:rPr>
      <w:instrText xml:space="preserve"> FILENAME  \p  \* MERGEFORMAT </w:instrText>
    </w:r>
    <w:r w:rsidRPr="0021139C">
      <w:rPr>
        <w:i/>
        <w:sz w:val="16"/>
        <w:szCs w:val="16"/>
      </w:rPr>
      <w:fldChar w:fldCharType="separate"/>
    </w:r>
    <w:r w:rsidRPr="0021139C">
      <w:rPr>
        <w:i/>
        <w:noProof/>
        <w:sz w:val="16"/>
        <w:szCs w:val="16"/>
      </w:rPr>
      <w:t>K:\Echange\Doctorat-Education-IEAPS\Formulaires\Issues possibles.docx</w:t>
    </w:r>
    <w:r w:rsidRPr="0021139C">
      <w:rPr>
        <w:i/>
        <w:sz w:val="16"/>
        <w:szCs w:val="16"/>
      </w:rPr>
      <w:fldChar w:fldCharType="end"/>
    </w:r>
  </w:p>
  <w:p w:rsidR="0021139C" w:rsidRPr="0021139C" w:rsidRDefault="0021139C">
    <w:pPr>
      <w:pStyle w:val="Pieddepage"/>
      <w:rPr>
        <w:sz w:val="16"/>
        <w:szCs w:val="16"/>
      </w:rPr>
    </w:pPr>
    <w:r w:rsidRPr="0021139C">
      <w:rPr>
        <w:sz w:val="16"/>
        <w:szCs w:val="16"/>
      </w:rPr>
      <w:t>Document mis à jour le 21 juin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9C" w:rsidRDefault="0021139C" w:rsidP="0021139C">
      <w:pPr>
        <w:spacing w:after="0" w:line="240" w:lineRule="auto"/>
      </w:pPr>
      <w:r>
        <w:separator/>
      </w:r>
    </w:p>
  </w:footnote>
  <w:footnote w:type="continuationSeparator" w:id="0">
    <w:p w:rsidR="0021139C" w:rsidRDefault="0021139C" w:rsidP="0021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32"/>
    <w:rsid w:val="000D0A32"/>
    <w:rsid w:val="0021139C"/>
    <w:rsid w:val="005F5E81"/>
    <w:rsid w:val="006B0E50"/>
    <w:rsid w:val="007B743C"/>
    <w:rsid w:val="007F7D1C"/>
    <w:rsid w:val="00881791"/>
    <w:rsid w:val="00902739"/>
    <w:rsid w:val="00B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0E761-7B51-4DEF-9B78-A49126A9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itre2">
    <w:name w:val="heading 2"/>
    <w:basedOn w:val="Normal"/>
    <w:link w:val="Titre2Car"/>
    <w:uiPriority w:val="9"/>
    <w:qFormat/>
    <w:rsid w:val="000D0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A32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0D0A32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customStyle="1" w:styleId="bodytext">
    <w:name w:val="bodytext"/>
    <w:basedOn w:val="Normal"/>
    <w:rsid w:val="000D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8179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13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39C"/>
  </w:style>
  <w:style w:type="paragraph" w:styleId="Pieddepage">
    <w:name w:val="footer"/>
    <w:basedOn w:val="Normal"/>
    <w:link w:val="PieddepageCar"/>
    <w:uiPriority w:val="99"/>
    <w:unhideWhenUsed/>
    <w:rsid w:val="002113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rtificat%20de%20soutenance_de_th&#232;s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ertificat%20de%20soutenance_de_th&#232;se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ertificat%20de%20soutenance_de_th&#232;se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ertificat%20de%20soutenance_de_th&#232;se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d'éducation physique et sportive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Delisle</dc:creator>
  <cp:keywords/>
  <dc:description/>
  <cp:lastModifiedBy>Caroline Roy</cp:lastModifiedBy>
  <cp:revision>7</cp:revision>
  <dcterms:created xsi:type="dcterms:W3CDTF">2016-10-19T15:44:00Z</dcterms:created>
  <dcterms:modified xsi:type="dcterms:W3CDTF">2017-06-21T18:16:00Z</dcterms:modified>
</cp:coreProperties>
</file>