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21" w:rsidRP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i/>
          <w:color w:val="000000"/>
        </w:rPr>
      </w:pPr>
      <w:r>
        <w:rPr>
          <w:rFonts w:ascii="Univers-Condensed" w:hAnsi="Univers-Condensed" w:cs="Univers-Condensed"/>
          <w:color w:val="000000"/>
        </w:rPr>
        <w:t xml:space="preserve">TIRÉ DE </w:t>
      </w:r>
      <w:hyperlink r:id="rId5" w:history="1">
        <w:r w:rsidRPr="002E1D3D">
          <w:rPr>
            <w:rStyle w:val="Lienhypertexte"/>
            <w:rFonts w:ascii="Univers-Condensed" w:hAnsi="Univers-Condensed" w:cs="Univers-Condensed"/>
            <w:i/>
          </w:rPr>
          <w:t>INFO-CÉRTA</w:t>
        </w:r>
      </w:hyperlink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</w:rPr>
      </w:pPr>
      <w:r>
        <w:rPr>
          <w:rFonts w:ascii="Univers-Condensed" w:hAnsi="Univers-Condensed" w:cs="Univers-Condensed"/>
          <w:color w:val="000000"/>
        </w:rPr>
        <w:t>N</w:t>
      </w:r>
      <w:r w:rsidRPr="00E60D21">
        <w:rPr>
          <w:rFonts w:ascii="Univers-Condensed" w:hAnsi="Univers-Condensed" w:cs="Univers-Condensed"/>
          <w:color w:val="000000"/>
          <w:vertAlign w:val="superscript"/>
        </w:rPr>
        <w:t>o</w:t>
      </w:r>
      <w:r>
        <w:rPr>
          <w:rFonts w:ascii="Univers-Condensed" w:hAnsi="Univers-Condensed" w:cs="Univers-Condensed"/>
          <w:color w:val="000000"/>
        </w:rPr>
        <w:t xml:space="preserve"> 14 – Automne 2017</w:t>
      </w:r>
    </w:p>
    <w:p w:rsidR="00E60D21" w:rsidRDefault="002E1D3D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</w:rPr>
      </w:pPr>
      <w:r>
        <w:rPr>
          <w:rFonts w:ascii="Univers-Condensed" w:hAnsi="Univers-Condensed" w:cs="Univers-Condensed"/>
          <w:color w:val="000000"/>
        </w:rPr>
        <w:t>Pages 12-14</w:t>
      </w:r>
    </w:p>
    <w:p w:rsidR="002E1D3D" w:rsidRDefault="002E1D3D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</w:rPr>
      </w:pPr>
      <w:r>
        <w:rPr>
          <w:rFonts w:ascii="Univers-Condensed" w:hAnsi="Univers-Condensed" w:cs="Univers-Condensed"/>
          <w:color w:val="000000"/>
        </w:rPr>
        <w:t>12 / PROJETS DE MÉMOIRE</w:t>
      </w: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9B92"/>
          <w:sz w:val="30"/>
          <w:szCs w:val="3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  <w:sz w:val="30"/>
          <w:szCs w:val="30"/>
        </w:rPr>
      </w:pPr>
      <w:r>
        <w:rPr>
          <w:rFonts w:ascii="Univers-Condensed" w:hAnsi="Univers-Condensed" w:cs="Univers-Condensed"/>
          <w:color w:val="009B92"/>
          <w:sz w:val="30"/>
          <w:szCs w:val="30"/>
        </w:rPr>
        <w:t>CHARLES-VINCENT CÔTÉ.</w:t>
      </w:r>
      <w:r>
        <w:rPr>
          <w:rFonts w:ascii="Univers-Condensed" w:hAnsi="Univers-Condensed" w:cs="Univers-Condensed"/>
          <w:color w:val="009B92"/>
          <w:sz w:val="30"/>
          <w:szCs w:val="30"/>
        </w:rPr>
        <w:br/>
      </w:r>
      <w:r>
        <w:rPr>
          <w:rFonts w:ascii="Univers-Condensed" w:hAnsi="Univers-Condensed" w:cs="Univers-Condensed"/>
          <w:color w:val="000000"/>
          <w:sz w:val="30"/>
          <w:szCs w:val="30"/>
        </w:rPr>
        <w:t>Les effets de l’aide aux devoirs et des autres soutiens</w:t>
      </w:r>
      <w:r>
        <w:rPr>
          <w:rFonts w:ascii="Univers-Condensed" w:hAnsi="Univers-Condensed" w:cs="Univers-Condensed"/>
          <w:color w:val="000000"/>
          <w:sz w:val="30"/>
          <w:szCs w:val="30"/>
        </w:rPr>
        <w:t xml:space="preserve"> </w:t>
      </w:r>
      <w:r>
        <w:rPr>
          <w:rFonts w:ascii="Univers-Condensed" w:hAnsi="Univers-Condensed" w:cs="Univers-Condensed"/>
          <w:color w:val="000000"/>
          <w:sz w:val="30"/>
          <w:szCs w:val="30"/>
        </w:rPr>
        <w:t>scolaires complémentaires sur le rendement scolaire des élèves à risque au</w:t>
      </w:r>
      <w:r>
        <w:rPr>
          <w:rFonts w:ascii="Univers-Condensed" w:hAnsi="Univers-Condensed" w:cs="Univers-Condensed"/>
          <w:color w:val="000000"/>
          <w:sz w:val="30"/>
          <w:szCs w:val="30"/>
        </w:rPr>
        <w:t xml:space="preserve"> </w:t>
      </w:r>
      <w:r>
        <w:rPr>
          <w:rFonts w:ascii="Univers-Condensed" w:hAnsi="Univers-Condensed" w:cs="Univers-Condensed"/>
          <w:color w:val="000000"/>
          <w:sz w:val="30"/>
          <w:szCs w:val="30"/>
        </w:rPr>
        <w:t>secondaire dans une perspective de lutte au décrochage scolaire</w:t>
      </w: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  <w:sz w:val="30"/>
          <w:szCs w:val="3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9B92"/>
          <w:sz w:val="48"/>
          <w:szCs w:val="48"/>
        </w:rPr>
      </w:pPr>
      <w:r>
        <w:rPr>
          <w:rFonts w:ascii="Univers-Condensed" w:hAnsi="Univers-Condensed" w:cs="Univers-Condensed"/>
          <w:color w:val="009B92"/>
          <w:sz w:val="48"/>
          <w:szCs w:val="48"/>
        </w:rPr>
        <w:t>Projets de mémoire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Il est important de prendre en considération que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c’est en partie à l’école que les élèves vont acquérir une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série de compétences liées à leur futur rôle de citoyen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(Saljo, 2004). Par conséquen</w:t>
      </w:r>
      <w:bookmarkStart w:id="0" w:name="_GoBack"/>
      <w:bookmarkEnd w:id="0"/>
      <w:r>
        <w:rPr>
          <w:rFonts w:ascii="Helvetica" w:hAnsi="Helvetica" w:cs="Helvetica"/>
          <w:color w:val="414142"/>
          <w:sz w:val="20"/>
          <w:szCs w:val="20"/>
        </w:rPr>
        <w:t>t, les décrocheurs risquent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 ne pas développer ces compétences, une lacune qui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est fréquemment associée à l’exclusion professionnelle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 xml:space="preserve">et sociale (Archambault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et al.</w:t>
      </w:r>
      <w:r>
        <w:rPr>
          <w:rFonts w:ascii="Helvetica" w:hAnsi="Helvetica" w:cs="Helvetica"/>
          <w:color w:val="414142"/>
          <w:sz w:val="20"/>
          <w:szCs w:val="20"/>
        </w:rPr>
        <w:t>, 2009). Les personnes qui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n’obtiennent pas leur diplôme d’études secondaires sont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 xml:space="preserve">plus susceptibles d’être sans emploi (Sum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et al</w:t>
      </w:r>
      <w:r>
        <w:rPr>
          <w:rFonts w:ascii="Helvetica" w:hAnsi="Helvetica" w:cs="Helvetica"/>
          <w:color w:val="414142"/>
          <w:sz w:val="20"/>
          <w:szCs w:val="20"/>
        </w:rPr>
        <w:t>., 2009),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d’avoir des problèmes de santé (Muennig, 2007) et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d’avoir des taux plus élevés de criminalité et d’incarcération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(Lochner et Moretti, 2004).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La problématique du décrochage scolaire est multidimensionnelle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et les efforts de prévention doivent être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intégrés dans une planification qui engage plusieurs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 xml:space="preserve">personnes à différents niveaux (Lessard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et al</w:t>
      </w:r>
      <w:r>
        <w:rPr>
          <w:rFonts w:ascii="Helvetica" w:hAnsi="Helvetica" w:cs="Helvetica"/>
          <w:color w:val="414142"/>
          <w:sz w:val="20"/>
          <w:szCs w:val="20"/>
        </w:rPr>
        <w:t>., 2013).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En ce sens, plusieurs facteurs (personnels, scolaires et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familiaux/sociaux) entrent en ligne de compte en ce qui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 xml:space="preserve">a trait au décrochage scolaire (Fortin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et al.</w:t>
      </w:r>
      <w:r>
        <w:rPr>
          <w:rFonts w:ascii="Helvetica" w:hAnsi="Helvetica" w:cs="Helvetica"/>
          <w:color w:val="414142"/>
          <w:sz w:val="20"/>
          <w:szCs w:val="20"/>
        </w:rPr>
        <w:t>, 2012). C’est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donc dire que tous les élèves n’ont pas le même niveau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 risque de décrochage.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  <w:sz w:val="28"/>
          <w:szCs w:val="28"/>
        </w:rPr>
      </w:pPr>
      <w:r>
        <w:rPr>
          <w:rFonts w:ascii="Univers-Condensed" w:hAnsi="Univers-Condensed" w:cs="Univers-Condensed"/>
          <w:color w:val="000000"/>
          <w:sz w:val="28"/>
          <w:szCs w:val="28"/>
        </w:rPr>
        <w:t>Élèves à risque de décrochage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 xml:space="preserve">Archambault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 xml:space="preserve">et al. </w:t>
      </w:r>
      <w:r>
        <w:rPr>
          <w:rFonts w:ascii="Helvetica" w:hAnsi="Helvetica" w:cs="Helvetica"/>
          <w:color w:val="414142"/>
          <w:sz w:val="20"/>
          <w:szCs w:val="20"/>
        </w:rPr>
        <w:t>(2009) rapportent que les élèves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à risque de décrochage n’ont pas le même rapport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comportemental, affectif et cognitif à l’école que 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autres élèves et suggèrent que, indépendamment du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désengagement comportemental, le risque que 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élèves décrochent avant la fin du secondaire augmente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lorsqu’ils se sentent « déconnectés » par rapport à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 multiples facettes de leur expérience scolaire. 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conclusions de ces chercheurs suggèrent que 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différences individuelles des élèves devraient être prises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davantage en compte lors des interventions en milieu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scolaire visant à promouvoir la réussite scolaire en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favorisant la santé mentale et le bien-être (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Ibid.</w:t>
      </w:r>
      <w:r>
        <w:rPr>
          <w:rFonts w:ascii="Helvetica" w:hAnsi="Helvetica" w:cs="Helvetica"/>
          <w:color w:val="414142"/>
          <w:sz w:val="20"/>
          <w:szCs w:val="20"/>
        </w:rPr>
        <w:t>). En plus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 leur différence comportementale, Rumberger (2011)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précise que les élèves à risque de décrocher sont plus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susceptibles de provenir de milieux économiques défavorisés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et il est plus fréquent que leurs parents éprouvent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des difficultés à leur apporter un soutien optimal en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matière de scolarisation ou d’apprentissage.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  <w:sz w:val="28"/>
          <w:szCs w:val="28"/>
        </w:rPr>
      </w:pPr>
      <w:r>
        <w:rPr>
          <w:rFonts w:ascii="Univers-Condensed" w:hAnsi="Univers-Condensed" w:cs="Univers-Condensed"/>
          <w:color w:val="000000"/>
          <w:sz w:val="28"/>
          <w:szCs w:val="28"/>
        </w:rPr>
        <w:t>Soutien scolaire complémentaire pour les</w:t>
      </w:r>
      <w:r>
        <w:rPr>
          <w:rFonts w:ascii="Univers-Condensed" w:hAnsi="Univers-Condensed" w:cs="Univers-Condensed"/>
          <w:color w:val="000000"/>
          <w:sz w:val="28"/>
          <w:szCs w:val="28"/>
        </w:rPr>
        <w:t xml:space="preserve"> élèves à risque de </w:t>
      </w:r>
      <w:r>
        <w:rPr>
          <w:rFonts w:ascii="Univers-Condensed" w:hAnsi="Univers-Condensed" w:cs="Univers-Condensed"/>
          <w:color w:val="000000"/>
          <w:sz w:val="28"/>
          <w:szCs w:val="28"/>
        </w:rPr>
        <w:t>décrochage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C’est dans une optique de lutte au décrochage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scolaire, qu’au début des années 2000, le Ministère de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l’éducation, des loisirs et du sport a spécifiquement ciblé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les milieux socioéconomiques moins favorisés dans la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mise en place de plusieurs mesures et programmes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lastRenderedPageBreak/>
        <w:t xml:space="preserve">(Bédard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et al.</w:t>
      </w:r>
      <w:r>
        <w:rPr>
          <w:rFonts w:ascii="Helvetica" w:hAnsi="Helvetica" w:cs="Helvetica"/>
          <w:color w:val="414142"/>
          <w:sz w:val="20"/>
          <w:szCs w:val="20"/>
        </w:rPr>
        <w:t>,2009). Certaines conditions favorables à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l’atteinte de services de qualité découlent des particularités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 chacun des milieux, ainsi les services offerts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doivent tenir compte des</w:t>
      </w:r>
      <w:r>
        <w:rPr>
          <w:rFonts w:ascii="Helvetica" w:hAnsi="Helvetica" w:cs="Helvetica"/>
          <w:color w:val="414142"/>
          <w:sz w:val="20"/>
          <w:szCs w:val="20"/>
        </w:rPr>
        <w:t xml:space="preserve"> b</w:t>
      </w:r>
      <w:r>
        <w:rPr>
          <w:rFonts w:ascii="Helvetica" w:hAnsi="Helvetica" w:cs="Helvetica"/>
          <w:color w:val="414142"/>
          <w:sz w:val="20"/>
          <w:szCs w:val="20"/>
        </w:rPr>
        <w:t>esoins de l’élève et du milieu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où il vit (Gouvernement du Québec, 2004). Plusieurs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moyens sont mis en place pour contrer le décrochage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scolaire. L’un de ces moyens est le soutien scolaire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qui est défini par Legendre (2005) comme étant 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« action[s] destinée[s] à permettre aux élèves plus faibles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d’atteindre un niveau jugé normal » (p. 1252). Le soutien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scolaire est présent se décline sous plusieurs formes,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que ce soit sous forme de soutien psychosocial, d’activités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parascolaires ou d’aide aux devoirs dispensée par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l’établissement scolaire ou par une autre organisation. À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ce sujet, l’aide au devoir est le soutien scolaire complémentaire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(SSC) principal de cette recherche en raison de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sa présence importante au sein des écoles québécoises.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En effet, l’étude menée par le CSE et le rapport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d’évaluation touchant le programme Aide aux devoirs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(Gouvernement du Québec, 2008) montre que l’aide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aux devoirs est une pratique courante dans 59,5%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d’écoles du Québec et que 84 % des responsables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dans les commissions scolaires et les trois quarts des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enseignants ont dit être tout à fait d’accord (37 %) ou en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partie d’accord (39 %) à l’effet que l’aide aux devoirs au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primaire constitue une bonne façon de contrer le décrochage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et les retards scolaires des élèves. Cependant,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aussi étrange que cela puisse le paraître, peu d’études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traitent de ce sujet spécifiquement dans le contexte du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Québec et aucune étude traitant des effets de l’aide aux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devoirs sur le rendement scolaire des élèves, soit au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primaire ou au secondaire, n’a été recensé.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  <w:sz w:val="28"/>
          <w:szCs w:val="28"/>
        </w:rPr>
      </w:pPr>
      <w:r>
        <w:rPr>
          <w:rFonts w:ascii="Univers-Condensed" w:hAnsi="Univers-Condensed" w:cs="Univers-Condensed"/>
          <w:color w:val="000000"/>
          <w:sz w:val="28"/>
          <w:szCs w:val="28"/>
        </w:rPr>
        <w:t>Les effets de l’aide aux devoirs sur</w:t>
      </w:r>
      <w:r>
        <w:rPr>
          <w:rFonts w:ascii="Univers-Condensed" w:hAnsi="Univers-Condensed" w:cs="Univers-Condensed"/>
          <w:color w:val="000000"/>
          <w:sz w:val="28"/>
          <w:szCs w:val="28"/>
        </w:rPr>
        <w:t xml:space="preserve"> </w:t>
      </w:r>
      <w:r>
        <w:rPr>
          <w:rFonts w:ascii="Univers-Condensed" w:hAnsi="Univers-Condensed" w:cs="Univers-Condensed"/>
          <w:color w:val="000000"/>
          <w:sz w:val="28"/>
          <w:szCs w:val="28"/>
        </w:rPr>
        <w:t>le rendement scolaire aux États-Unis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Contrairement au Québec, l’évaluation de l’impact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de la fréquentation de programme de soutien scolaire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complémentaire (SSC) par des élèves à risque sur leur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rendement scolaire aux États-Unis est abondamment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documenté de par les recherches faites à ce sujet dans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 xml:space="preserve">divers États en raison de l’acte 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>No Child Left Behind</w:t>
      </w:r>
      <w:r>
        <w:rPr>
          <w:rFonts w:ascii="Helvetica-Oblique" w:hAnsi="Helvetica-Oblique" w:cs="Helvetica-Oblique"/>
          <w:i/>
          <w:iCs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(NCLB, 2001).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414142"/>
          <w:sz w:val="20"/>
          <w:szCs w:val="20"/>
        </w:rPr>
      </w:pPr>
      <w:r>
        <w:rPr>
          <w:rFonts w:ascii="Helvetica" w:hAnsi="Helvetica" w:cs="Helvetica"/>
          <w:color w:val="414142"/>
          <w:sz w:val="20"/>
          <w:szCs w:val="20"/>
        </w:rPr>
        <w:t>De ce fait, plusieurs études américaines ont été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menées ayant comme objectif d’</w:t>
      </w:r>
      <w:r>
        <w:rPr>
          <w:rFonts w:ascii="Helvetica" w:hAnsi="Helvetica" w:cs="Helvetica"/>
          <w:color w:val="414142"/>
          <w:sz w:val="20"/>
          <w:szCs w:val="20"/>
        </w:rPr>
        <w:t xml:space="preserve">observer </w:t>
      </w:r>
      <w:r>
        <w:rPr>
          <w:rFonts w:ascii="Helvetica" w:hAnsi="Helvetica" w:cs="Helvetica"/>
          <w:color w:val="414142"/>
          <w:sz w:val="20"/>
          <w:szCs w:val="20"/>
        </w:rPr>
        <w:t>l’impact de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la fréquentation de SSC par des élèves à risque de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décrochage sur leur rendement scolaire, cependant les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conclusions des études nombreuses études recensées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sont mitigées quant à l’impact des SSC sur le rendement</w:t>
      </w:r>
      <w:r>
        <w:rPr>
          <w:rFonts w:ascii="Helvetica" w:hAnsi="Helvetica" w:cs="Helvetica"/>
          <w:color w:val="414142"/>
          <w:sz w:val="20"/>
          <w:szCs w:val="20"/>
        </w:rPr>
        <w:t xml:space="preserve"> </w:t>
      </w:r>
      <w:r>
        <w:rPr>
          <w:rFonts w:ascii="Helvetica" w:hAnsi="Helvetica" w:cs="Helvetica"/>
          <w:color w:val="414142"/>
          <w:sz w:val="20"/>
          <w:szCs w:val="20"/>
        </w:rPr>
        <w:t>scolaire des élèves aux États-Unis. Les chercheurs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00A19A"/>
          <w:sz w:val="14"/>
          <w:szCs w:val="14"/>
        </w:rPr>
      </w:pPr>
    </w:p>
    <w:p w:rsidR="00E60D21" w:rsidRDefault="00E60D21" w:rsidP="00E60D21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  <w:sz w:val="18"/>
          <w:szCs w:val="18"/>
        </w:rPr>
      </w:pPr>
      <w:r>
        <w:rPr>
          <w:rFonts w:ascii="Univers-Condensed" w:hAnsi="Univers-Condensed" w:cs="Univers-Condensed"/>
          <w:color w:val="000000"/>
          <w:sz w:val="18"/>
          <w:szCs w:val="18"/>
        </w:rPr>
        <w:t>RÉFÉRENCES BIBLIOGRAPHIQUES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Archambault, I., Janosz, M., Morizot, J. et Pagani, L. S. (2009).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Cognitive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Engagement in School. Journal of School Health, 79</w:t>
      </w:r>
      <w:r>
        <w:rPr>
          <w:rFonts w:ascii="Helvetica" w:hAnsi="Helvetica" w:cs="Helvetica"/>
          <w:color w:val="6E6F71"/>
          <w:sz w:val="14"/>
          <w:szCs w:val="14"/>
        </w:rPr>
        <w:t>(9), 408–415. doi :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>10.1111/j.1746-1561.2009.00428.x.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Bédard, J., Couturier, Y., Larose, F., Potvin, L., Terrisse, B. et Lenoir, A. (coll.).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(2009).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Étude des représentations et des indices d’opérationnalisation de l’école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communautaire au regard des mesures et programmes visant à soutenir la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collaboration école-famille-communauté mise en oeuvre dans les écoles du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primaire au Québec. </w:t>
      </w:r>
      <w:r>
        <w:rPr>
          <w:rFonts w:ascii="Helvetica" w:hAnsi="Helvetica" w:cs="Helvetica"/>
          <w:color w:val="6E6F71"/>
          <w:sz w:val="14"/>
          <w:szCs w:val="14"/>
        </w:rPr>
        <w:t>Sherbrooke : Université de Sherbrooke.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Battin-Pearson, S., Newcomb, M. D., Abbott, R. D., Hill, K. G., Catalano, R. F.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et Hawkins, J. D. (2000).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Predictors of early high school dropout: a test of five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theories. Journal of Educational Psychology, 92</w:t>
      </w:r>
      <w:r>
        <w:rPr>
          <w:rFonts w:ascii="Helvetica" w:hAnsi="Helvetica" w:cs="Helvetica"/>
          <w:color w:val="6E6F71"/>
          <w:sz w:val="14"/>
          <w:szCs w:val="14"/>
        </w:rPr>
        <w:t>, 568–582.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Fortin, L., Marcotte, D., Diallo, T., Potvin, P. et Royer, É. (2012).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A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multidimensional model of school dropout from an 8-year longitudinal study in a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general high school population. European Journal of Psychology of Education,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28 </w:t>
      </w:r>
      <w:r>
        <w:rPr>
          <w:rFonts w:ascii="Helvetica" w:hAnsi="Helvetica" w:cs="Helvetica"/>
          <w:color w:val="6E6F71"/>
          <w:sz w:val="14"/>
          <w:szCs w:val="14"/>
        </w:rPr>
        <w:t>(2), 563–583. http://doi.org/10.1007/s10212-012-0129-2.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Gouvernement du Québec (2004).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L’encadrement des élèves au secondaire :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Au-delà des mythes, un bilan positif. </w:t>
      </w:r>
      <w:r>
        <w:rPr>
          <w:rFonts w:ascii="Helvetica" w:hAnsi="Helvetica" w:cs="Helvetica"/>
          <w:color w:val="6E6F71"/>
          <w:sz w:val="14"/>
          <w:szCs w:val="14"/>
        </w:rPr>
        <w:t>Québec : Conseil Supérieur de l’Éducation.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Gouvernement du Québec (2008).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Évaluation de programme. Programme aide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aux devoirs. </w:t>
      </w:r>
      <w:r>
        <w:rPr>
          <w:rFonts w:ascii="Helvetica" w:hAnsi="Helvetica" w:cs="Helvetica"/>
          <w:color w:val="6E6F71"/>
          <w:sz w:val="14"/>
          <w:szCs w:val="14"/>
        </w:rPr>
        <w:t>Québec : Ministère de l’Éducation, du Loisir et du Sport.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Lauer, P.A., Akiba, M., Wilkerson, S.B., Apthorp, H.S., Snow, D. et Martin-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Glenn, M. L. (2006).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Out-of-school-time program: A meta-analysis of effects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for at-risk students. Review of educational research, 76 </w:t>
      </w:r>
      <w:r>
        <w:rPr>
          <w:rFonts w:ascii="Helvetica" w:hAnsi="Helvetica" w:cs="Helvetica"/>
          <w:color w:val="6E6F71"/>
          <w:sz w:val="14"/>
          <w:szCs w:val="14"/>
        </w:rPr>
        <w:t>(2), 275-313. doi: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>10.3102/00346543076002275.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Legendre, R. (2005).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Dictionnaire actuel de l’éducation. </w:t>
      </w:r>
      <w:r>
        <w:rPr>
          <w:rFonts w:ascii="Helvetica" w:hAnsi="Helvetica" w:cs="Helvetica"/>
          <w:color w:val="6E6F71"/>
          <w:sz w:val="14"/>
          <w:szCs w:val="14"/>
        </w:rPr>
        <w:t>2</w:t>
      </w:r>
      <w:r>
        <w:rPr>
          <w:rFonts w:ascii="Helvetica" w:hAnsi="Helvetica" w:cs="Helvetica"/>
          <w:color w:val="6E6F71"/>
          <w:sz w:val="8"/>
          <w:szCs w:val="8"/>
        </w:rPr>
        <w:t xml:space="preserve">e </w:t>
      </w:r>
      <w:r>
        <w:rPr>
          <w:rFonts w:ascii="Helvetica" w:hAnsi="Helvetica" w:cs="Helvetica"/>
          <w:color w:val="6E6F71"/>
          <w:sz w:val="14"/>
          <w:szCs w:val="14"/>
        </w:rPr>
        <w:t>édition. Guérin.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Lessard, A., Lopez, A., Poirier, M., Nadeau, S. et Poulin, C. (2013)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. Synthèse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des connaissances concernant l’intervention auprès des élèves à risque de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décrochage scolaire à l’enseignement secondaire en classe ordinaire</w:t>
      </w:r>
      <w:r>
        <w:rPr>
          <w:rFonts w:ascii="Helvetica" w:hAnsi="Helvetica" w:cs="Helvetica"/>
          <w:color w:val="6E6F71"/>
          <w:sz w:val="14"/>
          <w:szCs w:val="14"/>
        </w:rPr>
        <w:t>. Rapport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>de recherche remis au MELS. Sherbrooke : Université de Sherbrooke.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Lochner, L. et Moretti, E. (2001).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The effect of education on crime : Evidence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from prison inmates, arrests, and self-reports. American Economic Review,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94</w:t>
      </w:r>
      <w:r>
        <w:rPr>
          <w:rFonts w:ascii="Helvetica" w:hAnsi="Helvetica" w:cs="Helvetica"/>
          <w:color w:val="6E6F71"/>
          <w:sz w:val="14"/>
          <w:szCs w:val="14"/>
        </w:rPr>
        <w:t>(1), 155-189. doi : 10.1257/000282804322970751.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Muennig, P. (2007).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How education produces health : A hypothetical framework.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>The Teachers College Record, 1–17. Retrieved from http://www.tcrecord.org.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Newcomb, M. D., Abbott, R. D., Catalano, R. F., Hawkins, J. D., Battin-Pearson,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S. et Hill, K. G. (2002).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Mediational and deviance theories of late high school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failure: process roles of structural strains, academic competence, and general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versus specific problem behaviors. </w:t>
      </w:r>
      <w:r>
        <w:rPr>
          <w:rFonts w:ascii="Helvetica" w:hAnsi="Helvetica" w:cs="Helvetica"/>
          <w:color w:val="6E6F71"/>
          <w:sz w:val="14"/>
          <w:szCs w:val="14"/>
        </w:rPr>
        <w:t>Journal of Counseling Psychology, 49,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>172–186.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No Child Left Behind Act of 2001, Pub. L. No. 107-110, 115 Stat. 1425 (2002).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Rumberger, R. W. (2011).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Dropping Out. Why Students Drop Out of School and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What Can Be Done About It, </w:t>
      </w:r>
      <w:r>
        <w:rPr>
          <w:rFonts w:ascii="Helvetica" w:hAnsi="Helvetica" w:cs="Helvetica"/>
          <w:color w:val="6E6F71"/>
          <w:sz w:val="14"/>
          <w:szCs w:val="14"/>
        </w:rPr>
        <w:t>Cambridge, Harvard University Press, 400 p.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 xml:space="preserve">Saljo, R. (2004). From learning lessons to living knowledge.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In </w:t>
      </w:r>
      <w:r>
        <w:rPr>
          <w:rFonts w:ascii="Helvetica" w:hAnsi="Helvetica" w:cs="Helvetica"/>
          <w:color w:val="6E6F71"/>
          <w:sz w:val="14"/>
          <w:szCs w:val="14"/>
        </w:rPr>
        <w:t xml:space="preserve">A.N. Perret-Clermont, C. Pontecorvo, L. B. Resnick, T. Zittoun et B. Burge (dir.),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Joining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 xml:space="preserve">society. Social interaction and learning in adolescence and youth </w:t>
      </w:r>
      <w:r>
        <w:rPr>
          <w:rFonts w:ascii="Helvetica" w:hAnsi="Helvetica" w:cs="Helvetica"/>
          <w:color w:val="6E6F71"/>
          <w:sz w:val="14"/>
          <w:szCs w:val="14"/>
        </w:rPr>
        <w:t>(p. 177-191).</w:t>
      </w:r>
    </w:p>
    <w:p w:rsidR="00E60D21" w:rsidRDefault="00E60D21" w:rsidP="00E60D21">
      <w:pPr>
        <w:autoSpaceDE w:val="0"/>
        <w:autoSpaceDN w:val="0"/>
        <w:adjustRightInd w:val="0"/>
        <w:rPr>
          <w:rFonts w:ascii="Helvetica" w:hAnsi="Helvetica" w:cs="Helvetica"/>
          <w:color w:val="6E6F71"/>
          <w:sz w:val="14"/>
          <w:szCs w:val="14"/>
        </w:rPr>
      </w:pPr>
      <w:r>
        <w:rPr>
          <w:rFonts w:ascii="Helvetica" w:hAnsi="Helvetica" w:cs="Helvetica"/>
          <w:color w:val="6E6F71"/>
          <w:sz w:val="14"/>
          <w:szCs w:val="14"/>
        </w:rPr>
        <w:t>Cambridge: Cambridge University Press.</w:t>
      </w:r>
    </w:p>
    <w:p w:rsidR="00CD6968" w:rsidRDefault="00E60D21" w:rsidP="00E60D21">
      <w:pPr>
        <w:autoSpaceDE w:val="0"/>
        <w:autoSpaceDN w:val="0"/>
        <w:adjustRightInd w:val="0"/>
      </w:pPr>
      <w:r>
        <w:rPr>
          <w:rFonts w:ascii="Helvetica" w:hAnsi="Helvetica" w:cs="Helvetica"/>
          <w:color w:val="6E6F71"/>
          <w:sz w:val="14"/>
          <w:szCs w:val="14"/>
        </w:rPr>
        <w:lastRenderedPageBreak/>
        <w:t>Sum, A., Khatiwada, I., McLaughlin, J. et Palma, S. (2009). The consequences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>of dropping out of high school: Joblessness and jailing for high school dropouts</w:t>
      </w:r>
      <w:r>
        <w:rPr>
          <w:rFonts w:ascii="Helvetica" w:hAnsi="Helvetica" w:cs="Helvetica"/>
          <w:color w:val="6E6F71"/>
          <w:sz w:val="14"/>
          <w:szCs w:val="14"/>
        </w:rPr>
        <w:t xml:space="preserve"> </w:t>
      </w:r>
      <w:r>
        <w:rPr>
          <w:rFonts w:ascii="Helvetica" w:hAnsi="Helvetica" w:cs="Helvetica"/>
          <w:color w:val="6E6F71"/>
          <w:sz w:val="14"/>
          <w:szCs w:val="14"/>
        </w:rPr>
        <w:t xml:space="preserve">and the high cost for taxpayers. </w:t>
      </w:r>
      <w:r>
        <w:rPr>
          <w:rFonts w:ascii="Helvetica-Oblique" w:hAnsi="Helvetica-Oblique" w:cs="Helvetica-Oblique"/>
          <w:i/>
          <w:iCs/>
          <w:color w:val="6E6F71"/>
          <w:sz w:val="14"/>
          <w:szCs w:val="14"/>
        </w:rPr>
        <w:t>Center for Labor Market</w:t>
      </w:r>
    </w:p>
    <w:sectPr w:rsidR="00CD6968" w:rsidSect="00D833AF">
      <w:pgSz w:w="12240" w:h="15840"/>
      <w:pgMar w:top="144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21"/>
    <w:rsid w:val="002E1D3D"/>
    <w:rsid w:val="00CD6968"/>
    <w:rsid w:val="00D833AF"/>
    <w:rsid w:val="00E6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1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1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ta.ca/sites/default/files/info_certa14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1351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Massé</dc:creator>
  <cp:lastModifiedBy>Eric Massé</cp:lastModifiedBy>
  <cp:revision>1</cp:revision>
  <dcterms:created xsi:type="dcterms:W3CDTF">2018-02-12T20:02:00Z</dcterms:created>
  <dcterms:modified xsi:type="dcterms:W3CDTF">2018-02-12T20:14:00Z</dcterms:modified>
</cp:coreProperties>
</file>