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tblLook w:val="04A0" w:firstRow="1" w:lastRow="0" w:firstColumn="1" w:lastColumn="0" w:noHBand="0" w:noVBand="1"/>
      </w:tblPr>
      <w:tblGrid>
        <w:gridCol w:w="7702"/>
        <w:gridCol w:w="7702"/>
      </w:tblGrid>
      <w:tr w:rsidR="00846414" w:rsidRPr="00AF1FB1" w:rsidTr="00122CB0">
        <w:trPr>
          <w:trHeight w:val="576"/>
        </w:trPr>
        <w:tc>
          <w:tcPr>
            <w:tcW w:w="7702" w:type="dxa"/>
            <w:tcBorders>
              <w:top w:val="nil"/>
              <w:left w:val="nil"/>
              <w:bottom w:val="nil"/>
              <w:right w:val="nil"/>
            </w:tcBorders>
          </w:tcPr>
          <w:bookmarkStart w:id="0" w:name="_GoBack"/>
          <w:bookmarkEnd w:id="0"/>
          <w:p w:rsidR="00846414" w:rsidRPr="002F15E4" w:rsidRDefault="002F15E4"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8960" behindDoc="0" locked="0" layoutInCell="1" allowOverlap="1" wp14:anchorId="44CFCE04" wp14:editId="731F4B8A">
                      <wp:simplePos x="0" y="0"/>
                      <wp:positionH relativeFrom="column">
                        <wp:posOffset>26670</wp:posOffset>
                      </wp:positionH>
                      <wp:positionV relativeFrom="paragraph">
                        <wp:posOffset>163195</wp:posOffset>
                      </wp:positionV>
                      <wp:extent cx="4448175" cy="95250"/>
                      <wp:effectExtent l="38100" t="38100" r="66675" b="95250"/>
                      <wp:wrapNone/>
                      <wp:docPr id="9" name="Connecteur en angle 9"/>
                      <wp:cNvGraphicFramePr/>
                      <a:graphic xmlns:a="http://schemas.openxmlformats.org/drawingml/2006/main">
                        <a:graphicData uri="http://schemas.microsoft.com/office/word/2010/wordprocessingShape">
                          <wps:wsp>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AD09BAC"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en angle 9" o:spid="_x0000_s1026" type="#_x0000_t34" style="position:absolute;margin-left:2.1pt;margin-top:12.85pt;width:350.25pt;height:7.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" strokecolor="#9bbb59 [3206]" strokeweight="2pt">
                      <v:shadow on="t" color="black" opacity="24903f" origin=",.5" offset="0,.55556mm"/>
                    </v:shape>
                  </w:pict>
                </mc:Fallback>
              </mc:AlternateContent>
            </w:r>
            <w:r w:rsidRPr="002F15E4">
              <w:rPr>
                <w:rFonts w:ascii="Arial Narrow" w:hAnsi="Arial Narrow"/>
                <w:b/>
                <w:i/>
                <w:color w:val="4F6228" w:themeColor="accent3" w:themeShade="80"/>
                <w:sz w:val="28"/>
                <w:szCs w:val="28"/>
              </w:rPr>
              <w:t>Publications</w:t>
            </w:r>
          </w:p>
        </w:tc>
        <w:tc>
          <w:tcPr>
            <w:tcW w:w="7702" w:type="dxa"/>
            <w:vMerge w:val="restart"/>
            <w:tcBorders>
              <w:top w:val="nil"/>
              <w:left w:val="nil"/>
              <w:bottom w:val="nil"/>
              <w:right w:val="nil"/>
            </w:tcBorders>
          </w:tcPr>
          <w:p w:rsidR="00846414" w:rsidRPr="00AF1FB1" w:rsidRDefault="00697C62" w:rsidP="00AF1FB1">
            <w:pPr>
              <w:jc w:val="center"/>
              <w:rPr>
                <w:rFonts w:ascii="Arial Narrow" w:hAnsi="Arial Narrow"/>
                <w:b/>
                <w:i/>
                <w:color w:val="4F6228" w:themeColor="accent3" w:themeShade="80"/>
                <w:sz w:val="28"/>
                <w:szCs w:val="28"/>
              </w:rPr>
            </w:pPr>
            <w:r>
              <w:rPr>
                <w:rFonts w:ascii="Arial Narrow" w:hAnsi="Arial Narrow"/>
                <w:noProof/>
                <w:sz w:val="24"/>
                <w:szCs w:val="24"/>
                <w:lang w:eastAsia="fr-CA"/>
              </w:rPr>
              <mc:AlternateContent>
                <mc:Choice Requires="wps">
                  <w:drawing>
                    <wp:anchor distT="0" distB="0" distL="114300" distR="114300" simplePos="0" relativeHeight="251661312" behindDoc="0" locked="0" layoutInCell="1" allowOverlap="1" wp14:anchorId="670D2B0E" wp14:editId="7F39B896">
                      <wp:simplePos x="0" y="0"/>
                      <wp:positionH relativeFrom="column">
                        <wp:posOffset>679450</wp:posOffset>
                      </wp:positionH>
                      <wp:positionV relativeFrom="paragraph">
                        <wp:posOffset>693420</wp:posOffset>
                      </wp:positionV>
                      <wp:extent cx="2333625" cy="40005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2333625" cy="400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97C62" w:rsidRDefault="00697C62" w:rsidP="00697C62">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70D2B0E" id="_x0000_t202" coordsize="21600,21600" o:spt="202" path="m,l,21600r21600,l21600,xe">
                      <v:stroke joinstyle="miter"/>
                      <v:path gradientshapeok="t" o:connecttype="rect"/>
                    </v:shapetype>
                    <v:shape id="Zone de texte 4" o:spid="_x0000_s1026" type="#_x0000_t202" style="position:absolute;left:0;text-align:left;margin-left:53.5pt;margin-top:54.6pt;width:183.75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" fillcolor="white [3201]" stroked="f" strokeweight=".5pt">
                      <v:textbox>
                        <w:txbxContent>
                          <w:p w:rsidR="00697C62" w:rsidRDefault="00697C62" w:rsidP="00697C62">
                            <w:pPr>
                              <w:spacing w:after="0" w:line="240" w:lineRule="auto"/>
                              <w:rPr>
                                <w:rFonts w:ascii="Arial" w:hAnsi="Arial" w:cs="Arial"/>
                                <w:b/>
                                <w:sz w:val="14"/>
                                <w:szCs w:val="14"/>
                              </w:rPr>
                            </w:pPr>
                            <w:r>
                              <w:rPr>
                                <w:rFonts w:ascii="Arial" w:hAnsi="Arial" w:cs="Arial"/>
                                <w:b/>
                                <w:sz w:val="14"/>
                                <w:szCs w:val="14"/>
                              </w:rPr>
                              <w:t>Études supérieures</w:t>
                            </w:r>
                          </w:p>
                          <w:p w:rsidR="00846414" w:rsidRPr="00D16260" w:rsidRDefault="00846414" w:rsidP="00846414">
                            <w:pPr>
                              <w:rPr>
                                <w:rFonts w:ascii="Arial" w:hAnsi="Arial" w:cs="Arial"/>
                                <w:b/>
                                <w:sz w:val="14"/>
                                <w:szCs w:val="14"/>
                              </w:rPr>
                            </w:pPr>
                            <w:r>
                              <w:rPr>
                                <w:rFonts w:ascii="Arial" w:hAnsi="Arial" w:cs="Arial"/>
                                <w:b/>
                                <w:sz w:val="14"/>
                                <w:szCs w:val="14"/>
                              </w:rPr>
                              <w:t>Faculté de médecine et des sciences de la santé</w:t>
                            </w:r>
                          </w:p>
                        </w:txbxContent>
                      </v:textbox>
                    </v:shape>
                  </w:pict>
                </mc:Fallback>
              </mc:AlternateContent>
            </w:r>
            <w:r w:rsidR="00846414" w:rsidRPr="009179F3">
              <w:rPr>
                <w:noProof/>
                <w:sz w:val="28"/>
                <w:szCs w:val="28"/>
                <w:lang w:eastAsia="fr-CA"/>
              </w:rPr>
              <mc:AlternateContent>
                <mc:Choice Requires="wps">
                  <w:drawing>
                    <wp:anchor distT="0" distB="0" distL="114300" distR="114300" simplePos="0" relativeHeight="251663360" behindDoc="0" locked="0" layoutInCell="1" allowOverlap="1" wp14:anchorId="1530F4A7" wp14:editId="12266C15">
                      <wp:simplePos x="0" y="0"/>
                      <wp:positionH relativeFrom="column">
                        <wp:posOffset>327025</wp:posOffset>
                      </wp:positionH>
                      <wp:positionV relativeFrom="paragraph">
                        <wp:posOffset>1442085</wp:posOffset>
                      </wp:positionV>
                      <wp:extent cx="4181475" cy="590550"/>
                      <wp:effectExtent l="0" t="0" r="9525" b="0"/>
                      <wp:wrapSquare wrapText="bothSides"/>
                      <wp:docPr id="5" name="Zone de texte 5"/>
                      <wp:cNvGraphicFramePr/>
                      <a:graphic xmlns:a="http://schemas.openxmlformats.org/drawingml/2006/main">
                        <a:graphicData uri="http://schemas.microsoft.com/office/word/2010/wordprocessingShape">
                          <wps:wsp>
                            <wps:cNvSpPr txBox="1"/>
                            <wps:spPr>
                              <a:xfrm>
                                <a:off x="0" y="0"/>
                                <a:ext cx="4181475" cy="590550"/>
                              </a:xfrm>
                              <a:prstGeom prst="rect">
                                <a:avLst/>
                              </a:prstGeom>
                              <a:ln>
                                <a:noFill/>
                              </a:ln>
                            </wps:spPr>
                            <wps:style>
                              <a:lnRef idx="2">
                                <a:schemeClr val="accent3"/>
                              </a:lnRef>
                              <a:fillRef idx="1">
                                <a:schemeClr val="lt1"/>
                              </a:fillRef>
                              <a:effectRef idx="0">
                                <a:schemeClr val="accent3"/>
                              </a:effectRef>
                              <a:fontRef idx="minor">
                                <a:schemeClr val="dk1"/>
                              </a:fontRef>
                            </wps:style>
                            <wps:txbx>
                              <w:txbxContent>
                                <w:p w:rsidR="00846414" w:rsidRPr="000A0502" w:rsidRDefault="00057923" w:rsidP="00846414">
                                  <w:pPr>
                                    <w:jc w:val="center"/>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0A0502">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SOUTENANCE DE THÈSE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brightRoom" dir="t"/>
                              </a:scene3d>
                              <a:sp3d contourW="6350" prstMaterial="plastic">
                                <a:bevelT w="20320" h="20320" prst="angle"/>
                                <a:contourClr>
                                  <a:schemeClr val="accent1">
                                    <a:tint val="100000"/>
                                    <a:shade val="100000"/>
                                    <a:hueMod val="100000"/>
                                    <a:satMod val="100000"/>
                                  </a:schemeClr>
                                </a:contourClr>
                              </a:sp3d>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30F4A7" id="Zone de texte 5" o:spid="_x0000_s1027" type="#_x0000_t202" style="position:absolute;left:0;text-align:left;margin-left:25.75pt;margin-top:113.55pt;width:329.25pt;height: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" fillcolor="white [3201]" stroked="f" strokeweight="2pt">
                      <v:textbox>
                        <w:txbxContent>
                          <w:p w:rsidR="00846414" w:rsidRPr="000A0502" w:rsidRDefault="00057923" w:rsidP="00846414">
                            <w:pPr>
                              <w:jc w:val="center"/>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pPr>
                            <w:r w:rsidRPr="000A0502">
                              <w:rPr>
                                <w:rFonts w:ascii="Arial Narrow" w:hAnsi="Arial Narrow"/>
                                <w:b/>
                                <w:color w:val="76923C" w:themeColor="accent3" w:themeShade="BF"/>
                                <w:sz w:val="56"/>
                                <w:szCs w:val="56"/>
                                <w14:shadow w14:blurRad="49999" w14:dist="50800" w14:dir="7500000" w14:sx="100000" w14:sy="100000" w14:kx="0" w14:ky="0" w14:algn="tl">
                                  <w14:srgbClr w14:val="000000">
                                    <w14:alpha w14:val="65000"/>
                                    <w14:shade w14:val="5000"/>
                                  </w14:srgbClr>
                                </w14:shadow>
                                <w14:textOutline w14:w="9525" w14:cap="flat" w14:cmpd="sng" w14:algn="ctr">
                                  <w14:solidFill>
                                    <w14:schemeClr w14:val="tx2">
                                      <w14:tint w14:val="1000"/>
                                    </w14:schemeClr>
                                  </w14:solidFill>
                                  <w14:prstDash w14:val="solid"/>
                                  <w14:round/>
                                </w14:textOutline>
                              </w:rPr>
                              <w:t>SOUTENANCE DE THÈSE</w:t>
                            </w:r>
                          </w:p>
                        </w:txbxContent>
                      </v:textbox>
                      <w10:wrap type="square"/>
                    </v:shape>
                  </w:pict>
                </mc:Fallback>
              </mc:AlternateContent>
            </w:r>
            <w:r w:rsidR="00846414" w:rsidRPr="00D16260">
              <w:rPr>
                <w:rFonts w:ascii="Arial Narrow" w:hAnsi="Arial Narrow"/>
                <w:noProof/>
                <w:color w:val="9BBB59" w:themeColor="accent3"/>
                <w:sz w:val="36"/>
                <w:szCs w:val="36"/>
                <w:lang w:eastAsia="fr-CA"/>
              </w:rPr>
              <w:drawing>
                <wp:anchor distT="0" distB="0" distL="114300" distR="114300" simplePos="0" relativeHeight="251659264" behindDoc="0" locked="0" layoutInCell="1" allowOverlap="1" wp14:anchorId="431BBAA2" wp14:editId="19D3A535">
                  <wp:simplePos x="0" y="0"/>
                  <wp:positionH relativeFrom="column">
                    <wp:posOffset>328930</wp:posOffset>
                  </wp:positionH>
                  <wp:positionV relativeFrom="paragraph">
                    <wp:posOffset>158750</wp:posOffset>
                  </wp:positionV>
                  <wp:extent cx="2286000" cy="529590"/>
                  <wp:effectExtent l="0" t="0" r="0" b="3810"/>
                  <wp:wrapNone/>
                  <wp:docPr id="1" name="Image 1" descr="LogoU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d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529590"/>
                          </a:xfrm>
                          <a:prstGeom prst="rect">
                            <a:avLst/>
                          </a:prstGeom>
                          <a:noFill/>
                        </pic:spPr>
                      </pic:pic>
                    </a:graphicData>
                  </a:graphic>
                  <wp14:sizeRelH relativeFrom="page">
                    <wp14:pctWidth>0</wp14:pctWidth>
                  </wp14:sizeRelH>
                  <wp14:sizeRelV relativeFrom="page">
                    <wp14:pctHeight>0</wp14:pctHeight>
                  </wp14:sizeRelV>
                </wp:anchor>
              </w:drawing>
            </w:r>
          </w:p>
        </w:tc>
      </w:tr>
      <w:tr w:rsidR="00846414" w:rsidRPr="0000045F" w:rsidTr="000A0502">
        <w:trPr>
          <w:trHeight w:val="2679"/>
        </w:trPr>
        <w:tc>
          <w:tcPr>
            <w:tcW w:w="7702" w:type="dxa"/>
            <w:vMerge w:val="restart"/>
            <w:tcBorders>
              <w:top w:val="nil"/>
              <w:left w:val="nil"/>
              <w:bottom w:val="nil"/>
              <w:right w:val="nil"/>
            </w:tcBorders>
          </w:tcPr>
          <w:p w:rsidR="00DB03E0" w:rsidRDefault="00DB03E0" w:rsidP="00DB03E0">
            <w:pPr>
              <w:spacing w:after="120"/>
              <w:jc w:val="both"/>
              <w:rPr>
                <w:szCs w:val="19"/>
                <w:lang w:val="en-CA"/>
              </w:rPr>
            </w:pPr>
            <w:r>
              <w:rPr>
                <w:szCs w:val="19"/>
                <w:lang w:val="en-CA"/>
              </w:rPr>
              <w:t xml:space="preserve">1. </w:t>
            </w:r>
            <w:r w:rsidRPr="00DB03E0">
              <w:rPr>
                <w:b/>
                <w:bCs/>
                <w:iCs/>
                <w:lang w:val="en-CA"/>
              </w:rPr>
              <w:t>Guay SP</w:t>
            </w:r>
            <w:r>
              <w:rPr>
                <w:bCs/>
                <w:iCs/>
                <w:lang w:val="en-CA"/>
              </w:rPr>
              <w:t xml:space="preserve">, </w:t>
            </w:r>
            <w:proofErr w:type="spellStart"/>
            <w:r>
              <w:rPr>
                <w:bCs/>
                <w:iCs/>
                <w:lang w:val="en-CA"/>
              </w:rPr>
              <w:t>Brisson</w:t>
            </w:r>
            <w:proofErr w:type="spellEnd"/>
            <w:r>
              <w:rPr>
                <w:bCs/>
                <w:iCs/>
                <w:lang w:val="en-CA"/>
              </w:rPr>
              <w:t xml:space="preserve"> D, </w:t>
            </w:r>
            <w:proofErr w:type="spellStart"/>
            <w:r>
              <w:rPr>
                <w:bCs/>
                <w:iCs/>
                <w:lang w:val="en-CA"/>
              </w:rPr>
              <w:t>Munger</w:t>
            </w:r>
            <w:proofErr w:type="spellEnd"/>
            <w:r>
              <w:rPr>
                <w:bCs/>
                <w:iCs/>
                <w:lang w:val="en-CA"/>
              </w:rPr>
              <w:t xml:space="preserve"> J, Lamarche B, </w:t>
            </w:r>
            <w:proofErr w:type="spellStart"/>
            <w:r>
              <w:rPr>
                <w:bCs/>
                <w:iCs/>
                <w:lang w:val="en-CA"/>
              </w:rPr>
              <w:t>Gaudet</w:t>
            </w:r>
            <w:proofErr w:type="spellEnd"/>
            <w:r>
              <w:rPr>
                <w:bCs/>
                <w:iCs/>
                <w:lang w:val="en-CA"/>
              </w:rPr>
              <w:t xml:space="preserve"> D and Bouchard L. </w:t>
            </w:r>
            <w:r w:rsidRPr="004A0443">
              <w:rPr>
                <w:i/>
                <w:lang w:val="en-CA"/>
              </w:rPr>
              <w:t>ABCA1</w:t>
            </w:r>
            <w:r>
              <w:rPr>
                <w:lang w:val="en-CA"/>
              </w:rPr>
              <w:t xml:space="preserve"> gene promoter DNA methylation is associated with HDL particle profile and coronary artery disease in familial hypercholesterolemia. </w:t>
            </w:r>
            <w:r w:rsidRPr="00DC6482">
              <w:rPr>
                <w:i/>
                <w:lang w:val="en-CA"/>
              </w:rPr>
              <w:t>Epigenetics</w:t>
            </w:r>
            <w:r>
              <w:rPr>
                <w:lang w:val="en-CA"/>
              </w:rPr>
              <w:t xml:space="preserve"> 2012; 7(5):464-72.</w:t>
            </w:r>
          </w:p>
          <w:p w:rsidR="00DB03E0" w:rsidRDefault="00DB03E0" w:rsidP="00DB03E0">
            <w:pPr>
              <w:spacing w:after="120"/>
              <w:jc w:val="both"/>
              <w:rPr>
                <w:szCs w:val="19"/>
                <w:lang w:val="en-CA"/>
              </w:rPr>
            </w:pPr>
            <w:r>
              <w:rPr>
                <w:szCs w:val="19"/>
                <w:lang w:val="en-CA"/>
              </w:rPr>
              <w:t xml:space="preserve">2. </w:t>
            </w:r>
            <w:r w:rsidRPr="00DB03E0">
              <w:rPr>
                <w:b/>
                <w:lang w:val="en-CA"/>
              </w:rPr>
              <w:t>Guay SP</w:t>
            </w:r>
            <w:r w:rsidRPr="00DB03E0">
              <w:rPr>
                <w:lang w:val="en-CA"/>
              </w:rPr>
              <w:t>,</w:t>
            </w:r>
            <w:r w:rsidRPr="009E08F1">
              <w:rPr>
                <w:lang w:val="en-CA"/>
              </w:rPr>
              <w:t xml:space="preserve"> </w:t>
            </w:r>
            <w:proofErr w:type="spellStart"/>
            <w:r w:rsidRPr="009E08F1">
              <w:rPr>
                <w:lang w:val="en-CA"/>
              </w:rPr>
              <w:t>Voisin</w:t>
            </w:r>
            <w:proofErr w:type="spellEnd"/>
            <w:r w:rsidRPr="009E08F1">
              <w:rPr>
                <w:lang w:val="en-CA"/>
              </w:rPr>
              <w:t xml:space="preserve"> G, </w:t>
            </w:r>
            <w:proofErr w:type="spellStart"/>
            <w:r w:rsidRPr="009E08F1">
              <w:rPr>
                <w:lang w:val="en-CA"/>
              </w:rPr>
              <w:t>Brisson</w:t>
            </w:r>
            <w:proofErr w:type="spellEnd"/>
            <w:r w:rsidRPr="009E08F1">
              <w:rPr>
                <w:lang w:val="en-CA"/>
              </w:rPr>
              <w:t xml:space="preserve"> D, </w:t>
            </w:r>
            <w:proofErr w:type="spellStart"/>
            <w:r w:rsidRPr="009E08F1">
              <w:rPr>
                <w:lang w:val="en-CA"/>
              </w:rPr>
              <w:t>Munger</w:t>
            </w:r>
            <w:proofErr w:type="spellEnd"/>
            <w:r w:rsidRPr="009E08F1">
              <w:rPr>
                <w:lang w:val="en-CA"/>
              </w:rPr>
              <w:t xml:space="preserve"> J, Lamarche B, </w:t>
            </w:r>
            <w:proofErr w:type="spellStart"/>
            <w:r w:rsidRPr="009E08F1">
              <w:rPr>
                <w:lang w:val="en-CA"/>
              </w:rPr>
              <w:t>Gaudet</w:t>
            </w:r>
            <w:proofErr w:type="spellEnd"/>
            <w:r w:rsidRPr="009E08F1">
              <w:rPr>
                <w:lang w:val="en-CA"/>
              </w:rPr>
              <w:t xml:space="preserve"> D, Bouchard L. Epigenome-wide analysis in familial hypercholesterolemia identif</w:t>
            </w:r>
            <w:r>
              <w:rPr>
                <w:lang w:val="en-CA"/>
              </w:rPr>
              <w:t>ied new loci associated with HDL</w:t>
            </w:r>
            <w:r>
              <w:rPr>
                <w:lang w:val="en-CA"/>
              </w:rPr>
              <w:noBreakHyphen/>
              <w:t xml:space="preserve">cholesterol concentration. </w:t>
            </w:r>
            <w:proofErr w:type="spellStart"/>
            <w:r>
              <w:rPr>
                <w:i/>
                <w:lang w:val="en-CA"/>
              </w:rPr>
              <w:t>Epigenomics</w:t>
            </w:r>
            <w:proofErr w:type="spellEnd"/>
            <w:r>
              <w:rPr>
                <w:lang w:val="en-CA"/>
              </w:rPr>
              <w:t xml:space="preserve"> </w:t>
            </w:r>
            <w:r w:rsidRPr="004F26F9">
              <w:rPr>
                <w:lang w:val="en-CA"/>
              </w:rPr>
              <w:t>2012</w:t>
            </w:r>
            <w:r>
              <w:rPr>
                <w:lang w:val="en-CA"/>
              </w:rPr>
              <w:t>; 4(6):623-39.</w:t>
            </w:r>
          </w:p>
          <w:p w:rsidR="00DB03E0" w:rsidRDefault="00DB03E0" w:rsidP="00DB03E0">
            <w:pPr>
              <w:spacing w:after="120"/>
              <w:jc w:val="both"/>
              <w:rPr>
                <w:szCs w:val="19"/>
                <w:lang w:val="en-CA"/>
              </w:rPr>
            </w:pPr>
            <w:r>
              <w:rPr>
                <w:szCs w:val="19"/>
                <w:lang w:val="en-CA"/>
              </w:rPr>
              <w:t xml:space="preserve">3. </w:t>
            </w:r>
            <w:r w:rsidRPr="00DB03E0">
              <w:rPr>
                <w:b/>
                <w:lang w:val="en-CA"/>
              </w:rPr>
              <w:t>Guay SP</w:t>
            </w:r>
            <w:r w:rsidRPr="00DB03E0">
              <w:rPr>
                <w:lang w:val="en-CA"/>
              </w:rPr>
              <w:t>,</w:t>
            </w:r>
            <w:r>
              <w:rPr>
                <w:lang w:val="en-CA"/>
              </w:rPr>
              <w:t xml:space="preserve"> </w:t>
            </w:r>
            <w:proofErr w:type="spellStart"/>
            <w:r>
              <w:rPr>
                <w:lang w:val="en-CA"/>
              </w:rPr>
              <w:t>Brisson</w:t>
            </w:r>
            <w:proofErr w:type="spellEnd"/>
            <w:r>
              <w:rPr>
                <w:lang w:val="en-CA"/>
              </w:rPr>
              <w:t xml:space="preserve"> D, Lamarche B, Marceau P, </w:t>
            </w:r>
            <w:proofErr w:type="spellStart"/>
            <w:r>
              <w:rPr>
                <w:lang w:val="en-CA"/>
              </w:rPr>
              <w:t>Vohl</w:t>
            </w:r>
            <w:proofErr w:type="spellEnd"/>
            <w:r>
              <w:rPr>
                <w:lang w:val="en-CA"/>
              </w:rPr>
              <w:t xml:space="preserve"> MC, </w:t>
            </w:r>
            <w:proofErr w:type="spellStart"/>
            <w:r>
              <w:rPr>
                <w:lang w:val="en-CA"/>
              </w:rPr>
              <w:t>Gaudet</w:t>
            </w:r>
            <w:proofErr w:type="spellEnd"/>
            <w:r>
              <w:rPr>
                <w:lang w:val="en-CA"/>
              </w:rPr>
              <w:t xml:space="preserve"> D and Bouchard L. DNA methylation variations at </w:t>
            </w:r>
            <w:r w:rsidRPr="000322CC">
              <w:rPr>
                <w:i/>
                <w:lang w:val="en-CA"/>
              </w:rPr>
              <w:t>CETP</w:t>
            </w:r>
            <w:r>
              <w:rPr>
                <w:lang w:val="en-CA"/>
              </w:rPr>
              <w:t xml:space="preserve"> and </w:t>
            </w:r>
            <w:r w:rsidRPr="000322CC">
              <w:rPr>
                <w:i/>
                <w:lang w:val="en-CA"/>
              </w:rPr>
              <w:t>LPL</w:t>
            </w:r>
            <w:r>
              <w:rPr>
                <w:lang w:val="en-CA"/>
              </w:rPr>
              <w:t xml:space="preserve"> gene promoter loci: New molecular biomarkers associated with blood lipid profile variability. </w:t>
            </w:r>
            <w:r w:rsidRPr="004F26F9">
              <w:rPr>
                <w:i/>
                <w:lang w:val="en-CA"/>
              </w:rPr>
              <w:t>Atherosclerosis</w:t>
            </w:r>
            <w:r>
              <w:rPr>
                <w:lang w:val="en-CA"/>
              </w:rPr>
              <w:t xml:space="preserve"> 2013; </w:t>
            </w:r>
            <w:r w:rsidRPr="00A32211">
              <w:rPr>
                <w:lang w:val="en-CA"/>
              </w:rPr>
              <w:t>228(2):413-20</w:t>
            </w:r>
            <w:r>
              <w:rPr>
                <w:lang w:val="en-CA"/>
              </w:rPr>
              <w:t>.</w:t>
            </w:r>
          </w:p>
          <w:p w:rsidR="00C03365" w:rsidRPr="00DB03E0" w:rsidRDefault="00C03365" w:rsidP="00DB03E0">
            <w:pPr>
              <w:spacing w:after="120"/>
              <w:jc w:val="both"/>
              <w:rPr>
                <w:szCs w:val="19"/>
                <w:lang w:val="en-CA"/>
              </w:rPr>
            </w:pPr>
            <w:r w:rsidRPr="00DB03E0">
              <w:rPr>
                <w:szCs w:val="19"/>
                <w:lang w:val="en-CA"/>
              </w:rPr>
              <w:t>4.</w:t>
            </w:r>
            <w:r w:rsidR="00DB03E0" w:rsidRPr="00DB03E0">
              <w:rPr>
                <w:rFonts w:eastAsia="Calibri"/>
                <w:b/>
                <w:szCs w:val="19"/>
                <w:lang w:val="en-CA"/>
              </w:rPr>
              <w:t xml:space="preserve"> Guay SP</w:t>
            </w:r>
            <w:r w:rsidR="00DB03E0" w:rsidRPr="00DB03E0">
              <w:rPr>
                <w:rFonts w:eastAsia="Calibri"/>
                <w:szCs w:val="19"/>
                <w:lang w:val="en-CA"/>
              </w:rPr>
              <w:t xml:space="preserve">, </w:t>
            </w:r>
            <w:proofErr w:type="spellStart"/>
            <w:r w:rsidR="00DB03E0" w:rsidRPr="00DB03E0">
              <w:rPr>
                <w:rFonts w:eastAsia="Calibri"/>
                <w:szCs w:val="19"/>
                <w:lang w:val="en-CA"/>
              </w:rPr>
              <w:t>Brisson</w:t>
            </w:r>
            <w:proofErr w:type="spellEnd"/>
            <w:r w:rsidR="00DB03E0" w:rsidRPr="00DB03E0">
              <w:rPr>
                <w:rFonts w:eastAsia="Calibri"/>
                <w:szCs w:val="19"/>
                <w:lang w:val="en-CA"/>
              </w:rPr>
              <w:t xml:space="preserve"> D, Lamarche B, </w:t>
            </w:r>
            <w:proofErr w:type="spellStart"/>
            <w:r w:rsidR="00DB03E0" w:rsidRPr="00DB03E0">
              <w:rPr>
                <w:rFonts w:eastAsia="Calibri"/>
                <w:szCs w:val="19"/>
                <w:lang w:val="en-CA"/>
              </w:rPr>
              <w:t>Biron</w:t>
            </w:r>
            <w:proofErr w:type="spellEnd"/>
            <w:r w:rsidR="00DB03E0" w:rsidRPr="00DB03E0">
              <w:rPr>
                <w:rFonts w:eastAsia="Calibri"/>
                <w:szCs w:val="19"/>
                <w:lang w:val="en-CA"/>
              </w:rPr>
              <w:t xml:space="preserve"> S, </w:t>
            </w:r>
            <w:proofErr w:type="spellStart"/>
            <w:r w:rsidR="00DB03E0" w:rsidRPr="00DB03E0">
              <w:rPr>
                <w:rFonts w:eastAsia="Calibri"/>
                <w:szCs w:val="19"/>
                <w:lang w:val="en-CA"/>
              </w:rPr>
              <w:t>Lescelleur</w:t>
            </w:r>
            <w:proofErr w:type="spellEnd"/>
            <w:r w:rsidR="00DB03E0" w:rsidRPr="00DB03E0">
              <w:rPr>
                <w:rFonts w:eastAsia="Calibri"/>
                <w:szCs w:val="19"/>
                <w:lang w:val="en-CA"/>
              </w:rPr>
              <w:t xml:space="preserve"> O, </w:t>
            </w:r>
            <w:proofErr w:type="spellStart"/>
            <w:r w:rsidR="00DB03E0" w:rsidRPr="00DB03E0">
              <w:rPr>
                <w:rFonts w:eastAsia="Calibri"/>
                <w:szCs w:val="19"/>
                <w:lang w:val="en-CA"/>
              </w:rPr>
              <w:t>Biertho</w:t>
            </w:r>
            <w:proofErr w:type="spellEnd"/>
            <w:r w:rsidR="00DB03E0" w:rsidRPr="00DB03E0">
              <w:rPr>
                <w:rFonts w:eastAsia="Calibri"/>
                <w:szCs w:val="19"/>
                <w:lang w:val="en-CA"/>
              </w:rPr>
              <w:t xml:space="preserve"> L, Marceau S, </w:t>
            </w:r>
            <w:proofErr w:type="spellStart"/>
            <w:r w:rsidR="00DB03E0" w:rsidRPr="00DB03E0">
              <w:rPr>
                <w:rFonts w:eastAsia="Calibri"/>
                <w:szCs w:val="19"/>
                <w:lang w:val="en-CA"/>
              </w:rPr>
              <w:t>Vohl</w:t>
            </w:r>
            <w:proofErr w:type="spellEnd"/>
            <w:r w:rsidR="00DB03E0" w:rsidRPr="00DB03E0">
              <w:rPr>
                <w:rFonts w:eastAsia="Calibri"/>
                <w:szCs w:val="19"/>
                <w:lang w:val="en-CA"/>
              </w:rPr>
              <w:t xml:space="preserve"> MC, </w:t>
            </w:r>
            <w:proofErr w:type="spellStart"/>
            <w:r w:rsidR="00DB03E0" w:rsidRPr="00DB03E0">
              <w:rPr>
                <w:rFonts w:eastAsia="Calibri"/>
                <w:szCs w:val="19"/>
                <w:lang w:val="en-CA"/>
              </w:rPr>
              <w:t>Gaudet</w:t>
            </w:r>
            <w:proofErr w:type="spellEnd"/>
            <w:r w:rsidR="00DB03E0" w:rsidRPr="00DB03E0">
              <w:rPr>
                <w:rFonts w:eastAsia="Calibri"/>
                <w:szCs w:val="19"/>
                <w:lang w:val="en-CA"/>
              </w:rPr>
              <w:t xml:space="preserve"> D, Bouchard L. </w:t>
            </w:r>
            <w:r w:rsidR="00DB03E0" w:rsidRPr="00DB03E0">
              <w:rPr>
                <w:rFonts w:eastAsia="Calibri"/>
                <w:i/>
                <w:szCs w:val="19"/>
                <w:lang w:val="en-CA"/>
              </w:rPr>
              <w:t>ADRB3</w:t>
            </w:r>
            <w:r w:rsidR="00DB03E0" w:rsidRPr="00DB03E0">
              <w:rPr>
                <w:rFonts w:eastAsia="Calibri"/>
                <w:szCs w:val="19"/>
                <w:lang w:val="en-CA"/>
              </w:rPr>
              <w:t xml:space="preserve"> gene promoter DNA methylation in blood and visceral adipose tissue is associated with metabolic disturbances in men. </w:t>
            </w:r>
            <w:proofErr w:type="spellStart"/>
            <w:r w:rsidR="00DB03E0" w:rsidRPr="00DB03E0">
              <w:rPr>
                <w:rFonts w:eastAsia="Calibri"/>
                <w:i/>
                <w:szCs w:val="19"/>
                <w:lang w:val="en-CA"/>
              </w:rPr>
              <w:t>Epigenomics</w:t>
            </w:r>
            <w:proofErr w:type="spellEnd"/>
            <w:r w:rsidR="00DB03E0">
              <w:rPr>
                <w:rFonts w:eastAsia="Calibri"/>
                <w:i/>
                <w:szCs w:val="19"/>
                <w:lang w:val="en-CA"/>
              </w:rPr>
              <w:t xml:space="preserve"> </w:t>
            </w:r>
            <w:r w:rsidR="0000045F">
              <w:rPr>
                <w:rFonts w:eastAsia="Calibri"/>
                <w:szCs w:val="19"/>
                <w:lang w:val="en-CA"/>
              </w:rPr>
              <w:t>2014; 6(1).</w:t>
            </w:r>
          </w:p>
          <w:p w:rsidR="00DB03E0" w:rsidRPr="0000045F" w:rsidRDefault="00C03365" w:rsidP="0000045F">
            <w:pPr>
              <w:spacing w:after="120"/>
              <w:jc w:val="both"/>
              <w:rPr>
                <w:szCs w:val="19"/>
                <w:lang w:val="en-CA"/>
              </w:rPr>
            </w:pPr>
            <w:r w:rsidRPr="00DB03E0">
              <w:rPr>
                <w:szCs w:val="19"/>
                <w:lang w:val="en-CA"/>
              </w:rPr>
              <w:t xml:space="preserve">5. </w:t>
            </w:r>
            <w:r w:rsidRPr="00DB03E0">
              <w:rPr>
                <w:b/>
                <w:szCs w:val="19"/>
                <w:lang w:val="en-CA"/>
              </w:rPr>
              <w:t>Guay SP</w:t>
            </w:r>
            <w:r w:rsidRPr="00DB03E0">
              <w:rPr>
                <w:szCs w:val="19"/>
                <w:lang w:val="en-CA"/>
              </w:rPr>
              <w:t xml:space="preserve">, </w:t>
            </w:r>
            <w:proofErr w:type="spellStart"/>
            <w:r w:rsidRPr="00DB03E0">
              <w:rPr>
                <w:szCs w:val="19"/>
                <w:lang w:val="en-CA"/>
              </w:rPr>
              <w:t>Brisson</w:t>
            </w:r>
            <w:proofErr w:type="spellEnd"/>
            <w:r w:rsidRPr="00DB03E0">
              <w:rPr>
                <w:szCs w:val="19"/>
                <w:lang w:val="en-CA"/>
              </w:rPr>
              <w:t xml:space="preserve"> D, Lamarche B, </w:t>
            </w:r>
            <w:proofErr w:type="spellStart"/>
            <w:r w:rsidRPr="00DB03E0">
              <w:rPr>
                <w:szCs w:val="19"/>
                <w:lang w:val="en-CA"/>
              </w:rPr>
              <w:t>Gaudet</w:t>
            </w:r>
            <w:proofErr w:type="spellEnd"/>
            <w:r w:rsidRPr="00DB03E0">
              <w:rPr>
                <w:szCs w:val="19"/>
                <w:lang w:val="en-CA"/>
              </w:rPr>
              <w:t xml:space="preserve"> D, Bouchard L. Epipolymorphisms within lipoprotein genes contribute independently to plasma lipid levels in familial hypercholesterolemia. </w:t>
            </w:r>
            <w:r w:rsidRPr="0000045F">
              <w:rPr>
                <w:i/>
                <w:szCs w:val="19"/>
                <w:lang w:val="en-CA"/>
              </w:rPr>
              <w:t>Epigenetics</w:t>
            </w:r>
            <w:r w:rsidR="0000045F" w:rsidRPr="0000045F">
              <w:rPr>
                <w:szCs w:val="19"/>
                <w:lang w:val="en-CA"/>
              </w:rPr>
              <w:t xml:space="preserve"> 2014; 9(5).</w:t>
            </w:r>
          </w:p>
        </w:tc>
        <w:tc>
          <w:tcPr>
            <w:tcW w:w="7702" w:type="dxa"/>
            <w:vMerge/>
            <w:tcBorders>
              <w:top w:val="nil"/>
              <w:left w:val="nil"/>
              <w:bottom w:val="nil"/>
              <w:right w:val="nil"/>
            </w:tcBorders>
          </w:tcPr>
          <w:p w:rsidR="00846414" w:rsidRPr="0000045F" w:rsidRDefault="00846414" w:rsidP="00AF1FB1">
            <w:pPr>
              <w:jc w:val="center"/>
              <w:rPr>
                <w:rFonts w:ascii="Arial Narrow" w:hAnsi="Arial Narrow"/>
                <w:noProof/>
                <w:color w:val="9BBB59" w:themeColor="accent3"/>
                <w:sz w:val="36"/>
                <w:szCs w:val="36"/>
                <w:lang w:val="en-CA" w:eastAsia="fr-CA"/>
              </w:rPr>
            </w:pPr>
          </w:p>
        </w:tc>
      </w:tr>
      <w:tr w:rsidR="00846414" w:rsidRPr="00846414" w:rsidTr="00827013">
        <w:trPr>
          <w:trHeight w:val="1994"/>
        </w:trPr>
        <w:tc>
          <w:tcPr>
            <w:tcW w:w="7702" w:type="dxa"/>
            <w:vMerge/>
            <w:tcBorders>
              <w:top w:val="nil"/>
              <w:left w:val="nil"/>
              <w:bottom w:val="nil"/>
              <w:right w:val="nil"/>
            </w:tcBorders>
          </w:tcPr>
          <w:p w:rsidR="00846414" w:rsidRPr="0000045F" w:rsidRDefault="00846414" w:rsidP="00AF1FB1">
            <w:pPr>
              <w:rPr>
                <w:rFonts w:ascii="Arial Narrow" w:hAnsi="Arial Narrow"/>
                <w:sz w:val="24"/>
                <w:szCs w:val="24"/>
                <w:lang w:val="en-CA"/>
              </w:rPr>
            </w:pPr>
          </w:p>
        </w:tc>
        <w:tc>
          <w:tcPr>
            <w:tcW w:w="7702" w:type="dxa"/>
            <w:vMerge w:val="restart"/>
            <w:tcBorders>
              <w:top w:val="nil"/>
              <w:left w:val="nil"/>
              <w:bottom w:val="nil"/>
              <w:right w:val="nil"/>
            </w:tcBorders>
          </w:tcPr>
          <w:p w:rsidR="00846414" w:rsidRPr="0000045F" w:rsidRDefault="00846414" w:rsidP="00AF1FB1">
            <w:pPr>
              <w:jc w:val="center"/>
              <w:rPr>
                <w:rFonts w:ascii="Arial Narrow" w:hAnsi="Arial Narrow"/>
                <w:b/>
                <w:noProof/>
                <w:color w:val="4F6228" w:themeColor="accent3" w:themeShade="80"/>
                <w:sz w:val="28"/>
                <w:szCs w:val="28"/>
                <w:lang w:val="en-CA" w:eastAsia="fr-CA"/>
              </w:rPr>
            </w:pPr>
          </w:p>
          <w:p w:rsidR="00846414" w:rsidRPr="00783745" w:rsidRDefault="00C03365" w:rsidP="00783745">
            <w:pPr>
              <w:jc w:val="center"/>
              <w:rPr>
                <w:rFonts w:ascii="Arial Narrow" w:hAnsi="Arial Narrow"/>
                <w:b/>
                <w:smallCaps/>
                <w:noProof/>
                <w:color w:val="4F6228" w:themeColor="accent3" w:themeShade="80"/>
                <w:sz w:val="40"/>
                <w:szCs w:val="40"/>
                <w:lang w:eastAsia="fr-CA"/>
              </w:rPr>
            </w:pPr>
            <w:r>
              <w:rPr>
                <w:rFonts w:ascii="Arial Narrow" w:hAnsi="Arial Narrow"/>
                <w:b/>
                <w:smallCaps/>
                <w:noProof/>
                <w:color w:val="4F6228" w:themeColor="accent3" w:themeShade="80"/>
                <w:sz w:val="40"/>
                <w:szCs w:val="40"/>
                <w:lang w:eastAsia="fr-CA"/>
              </w:rPr>
              <w:t>Doctorat en biochimie</w:t>
            </w:r>
          </w:p>
          <w:p w:rsidR="00846414" w:rsidRPr="00783745" w:rsidRDefault="00846414" w:rsidP="00057923">
            <w:pPr>
              <w:rPr>
                <w:rFonts w:ascii="Arial Narrow" w:hAnsi="Arial Narrow"/>
                <w:b/>
                <w:smallCaps/>
                <w:noProof/>
                <w:color w:val="4F6228" w:themeColor="accent3" w:themeShade="80"/>
                <w:sz w:val="28"/>
                <w:szCs w:val="28"/>
                <w:lang w:eastAsia="fr-CA"/>
              </w:rPr>
            </w:pPr>
          </w:p>
          <w:p w:rsidR="00846414" w:rsidRPr="00846414" w:rsidRDefault="00755A7F" w:rsidP="00AF1FB1">
            <w:pPr>
              <w:jc w:val="center"/>
              <w:rPr>
                <w:rFonts w:ascii="Arial Narrow" w:hAnsi="Arial Narrow"/>
                <w:b/>
                <w:noProof/>
                <w:color w:val="4F6228" w:themeColor="accent3" w:themeShade="80"/>
                <w:sz w:val="32"/>
                <w:szCs w:val="32"/>
                <w:lang w:eastAsia="fr-CA"/>
              </w:rPr>
            </w:pPr>
            <w:r>
              <w:rPr>
                <w:rFonts w:ascii="Arial Narrow" w:hAnsi="Arial Narrow"/>
                <w:b/>
                <w:noProof/>
                <w:color w:val="4F6228" w:themeColor="accent3" w:themeShade="80"/>
                <w:sz w:val="32"/>
                <w:szCs w:val="32"/>
                <w:lang w:eastAsia="fr-CA"/>
              </w:rPr>
              <w:t>Simon-Pierre Gu</w:t>
            </w:r>
            <w:r w:rsidR="00C03365">
              <w:rPr>
                <w:rFonts w:ascii="Arial Narrow" w:hAnsi="Arial Narrow"/>
                <w:b/>
                <w:noProof/>
                <w:color w:val="4F6228" w:themeColor="accent3" w:themeShade="80"/>
                <w:sz w:val="32"/>
                <w:szCs w:val="32"/>
                <w:lang w:eastAsia="fr-CA"/>
              </w:rPr>
              <w:t>ay</w:t>
            </w:r>
          </w:p>
          <w:p w:rsidR="00846414" w:rsidRDefault="00846414" w:rsidP="00827013">
            <w:pPr>
              <w:rPr>
                <w:rFonts w:ascii="Arial Narrow" w:hAnsi="Arial Narrow"/>
                <w:b/>
                <w:noProof/>
                <w:color w:val="4F6228" w:themeColor="accent3" w:themeShade="80"/>
                <w:sz w:val="28"/>
                <w:szCs w:val="28"/>
                <w:lang w:eastAsia="fr-CA"/>
              </w:rPr>
            </w:pPr>
          </w:p>
          <w:p w:rsidR="00846414" w:rsidRDefault="00C03365" w:rsidP="00783745">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30 avril 2014</w:t>
            </w:r>
          </w:p>
          <w:p w:rsidR="00846414" w:rsidRDefault="00C03365"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9:00-12:00</w:t>
            </w:r>
          </w:p>
          <w:p w:rsidR="00846414" w:rsidRDefault="00C03365" w:rsidP="00AF1FB1">
            <w:pPr>
              <w:jc w:val="center"/>
              <w:rPr>
                <w:rFonts w:ascii="Arial Narrow" w:hAnsi="Arial Narrow"/>
                <w:noProof/>
                <w:color w:val="4F6228" w:themeColor="accent3" w:themeShade="80"/>
                <w:sz w:val="32"/>
                <w:szCs w:val="32"/>
                <w:lang w:eastAsia="fr-CA"/>
              </w:rPr>
            </w:pPr>
            <w:r>
              <w:rPr>
                <w:rFonts w:ascii="Arial Narrow" w:hAnsi="Arial Narrow"/>
                <w:noProof/>
                <w:color w:val="4F6228" w:themeColor="accent3" w:themeShade="80"/>
                <w:sz w:val="32"/>
                <w:szCs w:val="32"/>
                <w:lang w:eastAsia="fr-CA"/>
              </w:rPr>
              <w:t>Z8-1049 A-B</w:t>
            </w:r>
          </w:p>
          <w:p w:rsidR="00846414" w:rsidRDefault="00846414" w:rsidP="00057923">
            <w:pPr>
              <w:rPr>
                <w:rFonts w:ascii="Arial Narrow" w:hAnsi="Arial Narrow"/>
                <w:noProof/>
                <w:color w:val="4F6228" w:themeColor="accent3" w:themeShade="80"/>
                <w:sz w:val="32"/>
                <w:szCs w:val="32"/>
                <w:lang w:eastAsia="fr-CA"/>
              </w:rPr>
            </w:pPr>
          </w:p>
          <w:p w:rsidR="00846414" w:rsidRPr="00783745" w:rsidRDefault="00697C62" w:rsidP="00CB4684">
            <w:pPr>
              <w:jc w:val="center"/>
              <w:rPr>
                <w:rFonts w:ascii="Arial Narrow" w:hAnsi="Arial Narrow"/>
                <w:i/>
                <w:noProof/>
                <w:color w:val="4F6228" w:themeColor="accent3" w:themeShade="80"/>
                <w:sz w:val="32"/>
                <w:szCs w:val="32"/>
                <w:lang w:eastAsia="fr-CA"/>
              </w:rPr>
            </w:pPr>
            <w:r w:rsidRPr="00697C62">
              <w:rPr>
                <w:rFonts w:ascii="Arial Narrow" w:hAnsi="Arial Narrow"/>
                <w:i/>
                <w:noProof/>
                <w:color w:val="4F6228" w:themeColor="accent3" w:themeShade="80"/>
                <w:sz w:val="32"/>
                <w:szCs w:val="32"/>
                <w:lang w:eastAsia="fr-CA"/>
              </w:rPr>
              <w:drawing>
                <wp:anchor distT="0" distB="0" distL="114300" distR="114300" simplePos="0" relativeHeight="251730944" behindDoc="0" locked="0" layoutInCell="1" allowOverlap="1" wp14:anchorId="33E53B2E" wp14:editId="7C1C2E39">
                  <wp:simplePos x="0" y="0"/>
                  <wp:positionH relativeFrom="column">
                    <wp:posOffset>1470025</wp:posOffset>
                  </wp:positionH>
                  <wp:positionV relativeFrom="paragraph">
                    <wp:posOffset>824229</wp:posOffset>
                  </wp:positionV>
                  <wp:extent cx="1933575" cy="1883353"/>
                  <wp:effectExtent l="133350" t="114300" r="142875" b="155575"/>
                  <wp:wrapNone/>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3029" cy="189256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pic:spPr>
                      </pic:pic>
                    </a:graphicData>
                  </a:graphic>
                  <wp14:sizeRelH relativeFrom="margin">
                    <wp14:pctWidth>0</wp14:pctWidth>
                  </wp14:sizeRelH>
                  <wp14:sizeRelV relativeFrom="margin">
                    <wp14:pctHeight>0</wp14:pctHeight>
                  </wp14:sizeRelV>
                </wp:anchor>
              </w:drawing>
            </w:r>
            <w:r w:rsidR="00C03365">
              <w:rPr>
                <w:rFonts w:ascii="Arial Narrow" w:hAnsi="Arial Narrow"/>
                <w:i/>
                <w:noProof/>
                <w:color w:val="4F6228" w:themeColor="accent3" w:themeShade="80"/>
                <w:sz w:val="32"/>
                <w:szCs w:val="32"/>
                <w:lang w:eastAsia="fr-CA"/>
              </w:rPr>
              <w:t>Étude des déterminants épigénétiques des facteurs de risque de la maladie cardiovasculaire</w:t>
            </w:r>
          </w:p>
        </w:tc>
      </w:tr>
      <w:tr w:rsidR="00846414" w:rsidRPr="00AF1FB1" w:rsidTr="00122CB0">
        <w:trPr>
          <w:trHeight w:val="576"/>
        </w:trPr>
        <w:tc>
          <w:tcPr>
            <w:tcW w:w="7702" w:type="dxa"/>
            <w:tcBorders>
              <w:top w:val="nil"/>
              <w:left w:val="nil"/>
              <w:bottom w:val="nil"/>
              <w:right w:val="nil"/>
            </w:tcBorders>
          </w:tcPr>
          <w:p w:rsidR="00846414" w:rsidRDefault="002F15E4"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4864" behindDoc="0" locked="0" layoutInCell="1" allowOverlap="1" wp14:anchorId="15897586" wp14:editId="556E45C8">
                      <wp:simplePos x="0" y="0"/>
                      <wp:positionH relativeFrom="column">
                        <wp:posOffset>26670</wp:posOffset>
                      </wp:positionH>
                      <wp:positionV relativeFrom="paragraph">
                        <wp:posOffset>153035</wp:posOffset>
                      </wp:positionV>
                      <wp:extent cx="4448175" cy="95251"/>
                      <wp:effectExtent l="38100" t="38100" r="66675" b="95250"/>
                      <wp:wrapNone/>
                      <wp:docPr id="7" name="Connecteur en angle 7"/>
                      <wp:cNvGraphicFramePr/>
                      <a:graphic xmlns:a="http://schemas.openxmlformats.org/drawingml/2006/main">
                        <a:graphicData uri="http://schemas.microsoft.com/office/word/2010/wordprocessingShape">
                          <wps:wsp>
                            <wps:cNvCnPr/>
                            <wps:spPr>
                              <a:xfrm flipV="1">
                                <a:off x="0" y="0"/>
                                <a:ext cx="4448175" cy="95251"/>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271F980" id="Connecteur en angle 7" o:spid="_x0000_s1026" type="#_x0000_t34" style="position:absolute;margin-left:2.1pt;margin-top:12.05pt;width:350.25pt;height: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" strokecolor="#9bbb59 [3206]" strokeweight="2pt">
                      <v:shadow on="t" color="black" opacity="24903f" origin=",.5" offset="0,.55556mm"/>
                    </v:shape>
                  </w:pict>
                </mc:Fallback>
              </mc:AlternateContent>
            </w:r>
            <w:r w:rsidR="00846414">
              <w:rPr>
                <w:rFonts w:ascii="Arial Narrow" w:hAnsi="Arial Narrow"/>
                <w:b/>
                <w:i/>
                <w:color w:val="4F6228" w:themeColor="accent3" w:themeShade="80"/>
                <w:sz w:val="28"/>
                <w:szCs w:val="28"/>
              </w:rPr>
              <w:t>Présentations internationales</w:t>
            </w: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DB03E0" w:rsidTr="000A0502">
        <w:trPr>
          <w:trHeight w:val="2402"/>
        </w:trPr>
        <w:tc>
          <w:tcPr>
            <w:tcW w:w="7702" w:type="dxa"/>
            <w:tcBorders>
              <w:top w:val="nil"/>
              <w:left w:val="nil"/>
              <w:bottom w:val="nil"/>
              <w:right w:val="nil"/>
            </w:tcBorders>
          </w:tcPr>
          <w:p w:rsidR="009B0DFF" w:rsidRPr="009B0DFF" w:rsidRDefault="009B0DFF" w:rsidP="00DB03E0">
            <w:pPr>
              <w:pStyle w:val="Paragraphedeliste"/>
              <w:numPr>
                <w:ilvl w:val="0"/>
                <w:numId w:val="2"/>
              </w:numPr>
              <w:ind w:left="318" w:hanging="318"/>
              <w:jc w:val="both"/>
              <w:rPr>
                <w:rFonts w:ascii="Arial Narrow" w:hAnsi="Arial Narrow"/>
                <w:sz w:val="24"/>
                <w:szCs w:val="24"/>
                <w:lang w:val="en-CA"/>
              </w:rPr>
            </w:pPr>
            <w:r w:rsidRPr="00A32211">
              <w:rPr>
                <w:i/>
                <w:lang w:val="en-CA"/>
              </w:rPr>
              <w:t>12</w:t>
            </w:r>
            <w:r w:rsidRPr="00A32211">
              <w:rPr>
                <w:i/>
                <w:vertAlign w:val="superscript"/>
                <w:lang w:val="en-CA"/>
              </w:rPr>
              <w:t>th</w:t>
            </w:r>
            <w:r w:rsidRPr="00A32211">
              <w:rPr>
                <w:i/>
                <w:lang w:val="en-CA"/>
              </w:rPr>
              <w:t xml:space="preserve"> International Congress of Human Genetics/61st Annual Meeting of The American</w:t>
            </w:r>
            <w:r>
              <w:rPr>
                <w:i/>
                <w:lang w:val="en-CA"/>
              </w:rPr>
              <w:t xml:space="preserve"> Society of Human Genetics, </w:t>
            </w:r>
            <w:r>
              <w:rPr>
                <w:lang w:val="en-CA"/>
              </w:rPr>
              <w:t xml:space="preserve">Montréal, Canada, </w:t>
            </w:r>
            <w:proofErr w:type="spellStart"/>
            <w:r w:rsidRPr="00A32211">
              <w:rPr>
                <w:lang w:val="en-CA"/>
              </w:rPr>
              <w:t>octobre</w:t>
            </w:r>
            <w:proofErr w:type="spellEnd"/>
            <w:r w:rsidRPr="00A32211">
              <w:rPr>
                <w:lang w:val="en-CA"/>
              </w:rPr>
              <w:t xml:space="preserve"> 2011</w:t>
            </w:r>
            <w:r>
              <w:rPr>
                <w:lang w:val="en-CA"/>
              </w:rPr>
              <w:t>.</w:t>
            </w:r>
          </w:p>
          <w:p w:rsidR="00DB03E0" w:rsidRPr="00DB03E0" w:rsidRDefault="00DB03E0" w:rsidP="00DB03E0">
            <w:pPr>
              <w:pStyle w:val="Paragraphedeliste"/>
              <w:numPr>
                <w:ilvl w:val="0"/>
                <w:numId w:val="2"/>
              </w:numPr>
              <w:ind w:left="318" w:hanging="318"/>
              <w:jc w:val="both"/>
              <w:rPr>
                <w:rFonts w:ascii="Arial Narrow" w:hAnsi="Arial Narrow"/>
                <w:sz w:val="24"/>
                <w:szCs w:val="24"/>
                <w:lang w:val="en-CA"/>
              </w:rPr>
            </w:pPr>
            <w:proofErr w:type="spellStart"/>
            <w:r w:rsidRPr="00E841B1">
              <w:rPr>
                <w:i/>
              </w:rPr>
              <w:t>European</w:t>
            </w:r>
            <w:proofErr w:type="spellEnd"/>
            <w:r w:rsidRPr="00E841B1">
              <w:rPr>
                <w:i/>
              </w:rPr>
              <w:t xml:space="preserve"> </w:t>
            </w:r>
            <w:proofErr w:type="spellStart"/>
            <w:r w:rsidRPr="00E841B1">
              <w:rPr>
                <w:i/>
              </w:rPr>
              <w:t>Human</w:t>
            </w:r>
            <w:proofErr w:type="spellEnd"/>
            <w:r w:rsidRPr="00E841B1">
              <w:rPr>
                <w:i/>
              </w:rPr>
              <w:t xml:space="preserve"> </w:t>
            </w:r>
            <w:proofErr w:type="spellStart"/>
            <w:r w:rsidRPr="00E841B1">
              <w:rPr>
                <w:i/>
              </w:rPr>
              <w:t>Genetics</w:t>
            </w:r>
            <w:proofErr w:type="spellEnd"/>
            <w:r w:rsidRPr="00E841B1">
              <w:rPr>
                <w:i/>
              </w:rPr>
              <w:t xml:space="preserve"> </w:t>
            </w:r>
            <w:proofErr w:type="spellStart"/>
            <w:r w:rsidRPr="00E841B1">
              <w:rPr>
                <w:i/>
              </w:rPr>
              <w:t>Conference</w:t>
            </w:r>
            <w:proofErr w:type="spellEnd"/>
            <w:r w:rsidRPr="00E841B1">
              <w:rPr>
                <w:i/>
              </w:rPr>
              <w:t xml:space="preserve"> 2012</w:t>
            </w:r>
            <w:r>
              <w:t xml:space="preserve">, Nürnberg, Allemagne, </w:t>
            </w:r>
            <w:r w:rsidRPr="00E841B1">
              <w:t>juin 2012.</w:t>
            </w:r>
          </w:p>
          <w:p w:rsidR="00DB03E0" w:rsidRPr="00DB03E0" w:rsidRDefault="00DB03E0" w:rsidP="00DB03E0">
            <w:pPr>
              <w:pStyle w:val="Paragraphedeliste"/>
              <w:numPr>
                <w:ilvl w:val="0"/>
                <w:numId w:val="2"/>
              </w:numPr>
              <w:ind w:left="318" w:hanging="318"/>
              <w:jc w:val="both"/>
              <w:rPr>
                <w:rFonts w:ascii="Arial Narrow" w:hAnsi="Arial Narrow"/>
                <w:sz w:val="24"/>
                <w:szCs w:val="24"/>
                <w:lang w:val="en-CA"/>
              </w:rPr>
            </w:pPr>
            <w:r w:rsidRPr="00746D11">
              <w:rPr>
                <w:i/>
                <w:lang w:val="en-CA"/>
              </w:rPr>
              <w:t>Keystone Symposia on Molecular and Cellular Biology about Nutritio</w:t>
            </w:r>
            <w:r>
              <w:rPr>
                <w:i/>
                <w:lang w:val="en-CA"/>
              </w:rPr>
              <w:t>n, Epigenetics and Human Disease</w:t>
            </w:r>
            <w:r>
              <w:rPr>
                <w:lang w:val="en-CA"/>
              </w:rPr>
              <w:t xml:space="preserve">, Santa Fe, </w:t>
            </w:r>
            <w:proofErr w:type="spellStart"/>
            <w:r>
              <w:rPr>
                <w:lang w:val="en-CA"/>
              </w:rPr>
              <w:t>États</w:t>
            </w:r>
            <w:proofErr w:type="spellEnd"/>
            <w:r>
              <w:rPr>
                <w:lang w:val="en-CA"/>
              </w:rPr>
              <w:t xml:space="preserve">-Unis, </w:t>
            </w:r>
            <w:proofErr w:type="spellStart"/>
            <w:r w:rsidRPr="00A06DAD">
              <w:rPr>
                <w:lang w:val="en-CA"/>
              </w:rPr>
              <w:t>février</w:t>
            </w:r>
            <w:proofErr w:type="spellEnd"/>
            <w:r w:rsidRPr="00A06DAD">
              <w:rPr>
                <w:lang w:val="en-CA"/>
              </w:rPr>
              <w:t xml:space="preserve"> 2013</w:t>
            </w:r>
            <w:r>
              <w:rPr>
                <w:lang w:val="en-CA"/>
              </w:rPr>
              <w:t>.</w:t>
            </w:r>
          </w:p>
          <w:p w:rsidR="00EE64B2" w:rsidRPr="00DB03E0" w:rsidRDefault="00DB03E0" w:rsidP="00DB03E0">
            <w:pPr>
              <w:pStyle w:val="Paragraphedeliste"/>
              <w:numPr>
                <w:ilvl w:val="0"/>
                <w:numId w:val="2"/>
              </w:numPr>
              <w:ind w:left="318" w:hanging="318"/>
              <w:jc w:val="both"/>
              <w:rPr>
                <w:rFonts w:ascii="Arial Narrow" w:hAnsi="Arial Narrow"/>
                <w:sz w:val="24"/>
                <w:szCs w:val="24"/>
                <w:lang w:val="en-CA"/>
              </w:rPr>
            </w:pPr>
            <w:r w:rsidRPr="00DB03E0">
              <w:rPr>
                <w:i/>
                <w:lang w:val="en-CA"/>
              </w:rPr>
              <w:t>63st Annual Meeting of The American Society of Human Genetics</w:t>
            </w:r>
            <w:r>
              <w:rPr>
                <w:lang w:val="en-CA"/>
              </w:rPr>
              <w:t>,</w:t>
            </w:r>
            <w:r w:rsidRPr="00DB03E0">
              <w:rPr>
                <w:lang w:val="en-CA"/>
              </w:rPr>
              <w:t xml:space="preserve"> </w:t>
            </w:r>
            <w:r>
              <w:rPr>
                <w:lang w:val="en-CA"/>
              </w:rPr>
              <w:t xml:space="preserve">Boston, </w:t>
            </w:r>
            <w:proofErr w:type="spellStart"/>
            <w:r>
              <w:rPr>
                <w:lang w:val="en-CA"/>
              </w:rPr>
              <w:t>États</w:t>
            </w:r>
            <w:proofErr w:type="spellEnd"/>
            <w:r>
              <w:rPr>
                <w:lang w:val="en-CA"/>
              </w:rPr>
              <w:t xml:space="preserve">-Unis, </w:t>
            </w:r>
            <w:proofErr w:type="spellStart"/>
            <w:r>
              <w:rPr>
                <w:lang w:val="en-CA"/>
              </w:rPr>
              <w:t>octobre</w:t>
            </w:r>
            <w:proofErr w:type="spellEnd"/>
            <w:r>
              <w:rPr>
                <w:lang w:val="en-CA"/>
              </w:rPr>
              <w:t xml:space="preserve"> 2013.</w:t>
            </w:r>
          </w:p>
          <w:p w:rsidR="00DB03E0" w:rsidRPr="005B14A6" w:rsidRDefault="00DB03E0" w:rsidP="005B14A6">
            <w:pPr>
              <w:pStyle w:val="Paragraphedeliste"/>
              <w:numPr>
                <w:ilvl w:val="0"/>
                <w:numId w:val="2"/>
              </w:numPr>
              <w:ind w:left="318" w:hanging="318"/>
              <w:jc w:val="both"/>
              <w:rPr>
                <w:rFonts w:ascii="Arial Narrow" w:hAnsi="Arial Narrow"/>
                <w:sz w:val="24"/>
                <w:szCs w:val="24"/>
                <w:lang w:val="en-CA"/>
              </w:rPr>
            </w:pPr>
            <w:r w:rsidRPr="00DB03E0">
              <w:rPr>
                <w:lang w:val="en-CA"/>
              </w:rPr>
              <w:t>1</w:t>
            </w:r>
            <w:r w:rsidRPr="00DB03E0">
              <w:rPr>
                <w:vertAlign w:val="superscript"/>
                <w:lang w:val="en-CA"/>
              </w:rPr>
              <w:t>st</w:t>
            </w:r>
            <w:r w:rsidRPr="00DB03E0">
              <w:rPr>
                <w:lang w:val="en-CA"/>
              </w:rPr>
              <w:t xml:space="preserve"> </w:t>
            </w:r>
            <w:r w:rsidRPr="00DB03E0">
              <w:rPr>
                <w:i/>
                <w:lang w:val="en-CA"/>
              </w:rPr>
              <w:t xml:space="preserve">ICAN Conference Series – </w:t>
            </w:r>
            <w:proofErr w:type="spellStart"/>
            <w:r w:rsidRPr="00DB03E0">
              <w:rPr>
                <w:i/>
                <w:lang w:val="en-CA"/>
              </w:rPr>
              <w:t>Cardiometabolic</w:t>
            </w:r>
            <w:proofErr w:type="spellEnd"/>
            <w:r w:rsidRPr="00DB03E0">
              <w:rPr>
                <w:i/>
                <w:lang w:val="en-CA"/>
              </w:rPr>
              <w:t xml:space="preserve"> Diseases</w:t>
            </w:r>
            <w:r>
              <w:rPr>
                <w:lang w:val="en-CA"/>
              </w:rPr>
              <w:t>,</w:t>
            </w:r>
            <w:r w:rsidRPr="00DB03E0">
              <w:rPr>
                <w:lang w:val="en-CA"/>
              </w:rPr>
              <w:t xml:space="preserve"> </w:t>
            </w:r>
            <w:r>
              <w:t xml:space="preserve">Paris, France, </w:t>
            </w:r>
            <w:r w:rsidRPr="0075067C">
              <w:t>décembre 2013</w:t>
            </w:r>
            <w:r>
              <w:t>.</w:t>
            </w:r>
          </w:p>
        </w:tc>
        <w:tc>
          <w:tcPr>
            <w:tcW w:w="7702" w:type="dxa"/>
            <w:vMerge/>
            <w:tcBorders>
              <w:top w:val="nil"/>
              <w:left w:val="nil"/>
              <w:bottom w:val="nil"/>
              <w:right w:val="nil"/>
            </w:tcBorders>
          </w:tcPr>
          <w:p w:rsidR="00846414" w:rsidRPr="00DB03E0" w:rsidRDefault="00846414" w:rsidP="00AF1FB1">
            <w:pPr>
              <w:jc w:val="center"/>
              <w:rPr>
                <w:rFonts w:ascii="Arial Narrow" w:hAnsi="Arial Narrow"/>
                <w:noProof/>
                <w:color w:val="9BBB59" w:themeColor="accent3"/>
                <w:sz w:val="36"/>
                <w:szCs w:val="36"/>
                <w:lang w:val="en-CA" w:eastAsia="fr-CA"/>
              </w:rPr>
            </w:pPr>
          </w:p>
        </w:tc>
      </w:tr>
      <w:tr w:rsidR="00846414" w:rsidRPr="00AF1FB1" w:rsidTr="00122CB0">
        <w:trPr>
          <w:trHeight w:val="576"/>
        </w:trPr>
        <w:tc>
          <w:tcPr>
            <w:tcW w:w="7702" w:type="dxa"/>
            <w:tcBorders>
              <w:top w:val="nil"/>
              <w:left w:val="nil"/>
              <w:bottom w:val="nil"/>
              <w:right w:val="nil"/>
            </w:tcBorders>
          </w:tcPr>
          <w:p w:rsidR="00846414" w:rsidRDefault="002F15E4" w:rsidP="00AF1FB1">
            <w:pPr>
              <w:rPr>
                <w:rFonts w:ascii="Arial Narrow" w:hAnsi="Arial Narrow"/>
                <w:b/>
                <w:i/>
                <w:color w:val="4F6228" w:themeColor="accent3" w:themeShade="80"/>
                <w:sz w:val="28"/>
                <w:szCs w:val="28"/>
              </w:rPr>
            </w:pPr>
            <w:r>
              <w:rPr>
                <w:rFonts w:ascii="Arial Narrow" w:hAnsi="Arial Narrow"/>
                <w:b/>
                <w:i/>
                <w:noProof/>
                <w:color w:val="4F6228" w:themeColor="accent3" w:themeShade="80"/>
                <w:sz w:val="28"/>
                <w:szCs w:val="28"/>
                <w:lang w:eastAsia="fr-CA"/>
              </w:rPr>
              <mc:AlternateContent>
                <mc:Choice Requires="wps">
                  <w:drawing>
                    <wp:anchor distT="0" distB="0" distL="114300" distR="114300" simplePos="0" relativeHeight="251686912" behindDoc="0" locked="0" layoutInCell="1" allowOverlap="1" wp14:anchorId="0277FB07" wp14:editId="4FE5E833">
                      <wp:simplePos x="0" y="0"/>
                      <wp:positionH relativeFrom="column">
                        <wp:posOffset>26670</wp:posOffset>
                      </wp:positionH>
                      <wp:positionV relativeFrom="paragraph">
                        <wp:posOffset>142875</wp:posOffset>
                      </wp:positionV>
                      <wp:extent cx="4448175" cy="95250"/>
                      <wp:effectExtent l="38100" t="38100" r="66675" b="95250"/>
                      <wp:wrapNone/>
                      <wp:docPr id="8" name="Connecteur en angle 8"/>
                      <wp:cNvGraphicFramePr/>
                      <a:graphic xmlns:a="http://schemas.openxmlformats.org/drawingml/2006/main">
                        <a:graphicData uri="http://schemas.microsoft.com/office/word/2010/wordprocessingShape">
                          <wps:wsp>
                            <wps:cNvCnPr/>
                            <wps:spPr>
                              <a:xfrm flipV="1">
                                <a:off x="0" y="0"/>
                                <a:ext cx="4448175" cy="95250"/>
                              </a:xfrm>
                              <a:prstGeom prst="bentConnector3">
                                <a:avLst/>
                              </a:prstGeom>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935DFF4" id="Connecteur en angle 8" o:spid="_x0000_s1026" type="#_x0000_t34" style="position:absolute;margin-left:2.1pt;margin-top:11.25pt;width:350.25pt;height:7.5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" strokecolor="#9bbb59 [3206]" strokeweight="2pt">
                      <v:shadow on="t" color="black" opacity="24903f" origin=",.5" offset="0,.55556mm"/>
                    </v:shape>
                  </w:pict>
                </mc:Fallback>
              </mc:AlternateContent>
            </w:r>
            <w:r w:rsidR="00846414">
              <w:rPr>
                <w:rFonts w:ascii="Arial Narrow" w:hAnsi="Arial Narrow"/>
                <w:b/>
                <w:i/>
                <w:color w:val="4F6228" w:themeColor="accent3" w:themeShade="80"/>
                <w:sz w:val="28"/>
                <w:szCs w:val="28"/>
              </w:rPr>
              <w:t>Bourses, Prix &amp; Distinctions</w:t>
            </w:r>
          </w:p>
        </w:tc>
        <w:tc>
          <w:tcPr>
            <w:tcW w:w="7702" w:type="dxa"/>
            <w:vMerge/>
            <w:tcBorders>
              <w:top w:val="nil"/>
              <w:left w:val="nil"/>
              <w:bottom w:val="nil"/>
              <w:right w:val="nil"/>
            </w:tcBorders>
          </w:tcPr>
          <w:p w:rsidR="00846414" w:rsidRPr="00846414" w:rsidRDefault="00846414" w:rsidP="00AF1FB1">
            <w:pPr>
              <w:jc w:val="center"/>
              <w:rPr>
                <w:rFonts w:ascii="Arial Narrow" w:hAnsi="Arial Narrow"/>
                <w:b/>
                <w:i/>
                <w:noProof/>
                <w:color w:val="4F6228" w:themeColor="accent3" w:themeShade="80"/>
                <w:sz w:val="28"/>
                <w:szCs w:val="28"/>
                <w:lang w:eastAsia="fr-CA"/>
              </w:rPr>
            </w:pPr>
          </w:p>
        </w:tc>
      </w:tr>
      <w:tr w:rsidR="00846414" w:rsidRPr="00AF1FB1" w:rsidTr="00057923">
        <w:trPr>
          <w:trHeight w:val="1435"/>
        </w:trPr>
        <w:tc>
          <w:tcPr>
            <w:tcW w:w="7702" w:type="dxa"/>
            <w:vMerge w:val="restart"/>
            <w:tcBorders>
              <w:top w:val="nil"/>
              <w:left w:val="nil"/>
              <w:bottom w:val="nil"/>
              <w:right w:val="nil"/>
            </w:tcBorders>
          </w:tcPr>
          <w:p w:rsidR="00846414" w:rsidRPr="00C03365" w:rsidRDefault="00C03365" w:rsidP="00DB03E0">
            <w:pPr>
              <w:pStyle w:val="Paragraphedeliste"/>
              <w:numPr>
                <w:ilvl w:val="0"/>
                <w:numId w:val="1"/>
              </w:numPr>
              <w:ind w:left="318" w:hanging="284"/>
              <w:jc w:val="both"/>
            </w:pPr>
            <w:r w:rsidRPr="00C03365">
              <w:t>Bourse d’étude supérieure du Canada Frederick Banting et Charles Best offerte par les Institut de recherche en santé du Canada (IRSC)</w:t>
            </w:r>
          </w:p>
          <w:p w:rsidR="00C03365" w:rsidRPr="00C03365" w:rsidRDefault="00C03365" w:rsidP="00DB03E0">
            <w:pPr>
              <w:pStyle w:val="Paragraphedeliste"/>
              <w:numPr>
                <w:ilvl w:val="0"/>
                <w:numId w:val="1"/>
              </w:numPr>
              <w:ind w:left="318" w:hanging="284"/>
              <w:jc w:val="both"/>
            </w:pPr>
            <w:r w:rsidRPr="00C03365">
              <w:t>Bourse d’étude au doctorat offerte par les Fonds de recherche du Québec en santé (FRQ-S)</w:t>
            </w:r>
          </w:p>
          <w:p w:rsidR="00C03365" w:rsidRDefault="00C03365" w:rsidP="00DB03E0">
            <w:pPr>
              <w:pStyle w:val="Paragraphedeliste"/>
              <w:numPr>
                <w:ilvl w:val="0"/>
                <w:numId w:val="1"/>
              </w:numPr>
              <w:ind w:left="318" w:hanging="284"/>
              <w:jc w:val="both"/>
            </w:pPr>
            <w:r>
              <w:t>P</w:t>
            </w:r>
            <w:r w:rsidRPr="00C03365">
              <w:t>rix d’excellence en biochimie pour la période 2012-2013</w:t>
            </w:r>
          </w:p>
          <w:p w:rsidR="00C03365" w:rsidRDefault="00DB03E0" w:rsidP="00DB03E0">
            <w:pPr>
              <w:pStyle w:val="Paragraphedeliste"/>
              <w:numPr>
                <w:ilvl w:val="0"/>
                <w:numId w:val="1"/>
              </w:numPr>
              <w:ind w:left="318" w:hanging="284"/>
              <w:jc w:val="both"/>
            </w:pPr>
            <w:r>
              <w:t>Prix d’excellence CMDO lors du congrès 2013 de la SQLNM</w:t>
            </w:r>
          </w:p>
          <w:p w:rsidR="00DB03E0" w:rsidRDefault="00DB03E0" w:rsidP="00DB03E0">
            <w:pPr>
              <w:pStyle w:val="Paragraphedeliste"/>
              <w:numPr>
                <w:ilvl w:val="0"/>
                <w:numId w:val="1"/>
              </w:numPr>
              <w:ind w:left="318" w:hanging="284"/>
              <w:jc w:val="both"/>
            </w:pPr>
            <w:r>
              <w:t>Prix de la meilleure présentation d’affiche au doctorat lors de la journée scientifique 2013 de l’axe DOCC</w:t>
            </w:r>
          </w:p>
          <w:p w:rsidR="00DB03E0" w:rsidRPr="00C03365" w:rsidRDefault="00DB03E0" w:rsidP="00DB03E0">
            <w:pPr>
              <w:pStyle w:val="Paragraphedeliste"/>
              <w:numPr>
                <w:ilvl w:val="0"/>
                <w:numId w:val="1"/>
              </w:numPr>
              <w:ind w:left="318" w:hanging="284"/>
              <w:jc w:val="both"/>
            </w:pPr>
            <w:r>
              <w:t>Prix du public pour la meilleure présentation orale lors de la journée scientifique 2012 de l’axe DOCC</w:t>
            </w:r>
          </w:p>
          <w:p w:rsidR="00C03365" w:rsidRPr="00B76D20" w:rsidRDefault="00C03365" w:rsidP="00AF1FB1">
            <w:pPr>
              <w:rPr>
                <w:rFonts w:ascii="Arial Narrow" w:hAnsi="Arial Narrow"/>
                <w:sz w:val="24"/>
                <w:szCs w:val="24"/>
              </w:rPr>
            </w:pPr>
          </w:p>
        </w:tc>
        <w:tc>
          <w:tcPr>
            <w:tcW w:w="7702" w:type="dxa"/>
            <w:vMerge/>
            <w:tcBorders>
              <w:top w:val="nil"/>
              <w:left w:val="nil"/>
              <w:bottom w:val="nil"/>
              <w:right w:val="nil"/>
            </w:tcBorders>
          </w:tcPr>
          <w:p w:rsidR="00846414" w:rsidRPr="00D16260" w:rsidRDefault="00846414" w:rsidP="00AF1FB1">
            <w:pPr>
              <w:jc w:val="center"/>
              <w:rPr>
                <w:rFonts w:ascii="Arial Narrow" w:hAnsi="Arial Narrow"/>
                <w:noProof/>
                <w:color w:val="9BBB59" w:themeColor="accent3"/>
                <w:sz w:val="36"/>
                <w:szCs w:val="36"/>
                <w:lang w:eastAsia="fr-CA"/>
              </w:rPr>
            </w:pPr>
          </w:p>
        </w:tc>
      </w:tr>
      <w:tr w:rsidR="00846414" w:rsidRPr="00AF1FB1" w:rsidTr="00122CB0">
        <w:trPr>
          <w:trHeight w:val="1160"/>
        </w:trPr>
        <w:tc>
          <w:tcPr>
            <w:tcW w:w="7702" w:type="dxa"/>
            <w:vMerge/>
            <w:tcBorders>
              <w:top w:val="nil"/>
              <w:left w:val="nil"/>
              <w:bottom w:val="nil"/>
              <w:right w:val="nil"/>
            </w:tcBorders>
          </w:tcPr>
          <w:p w:rsidR="00846414" w:rsidRPr="00B76D20" w:rsidRDefault="00846414" w:rsidP="00AF1FB1">
            <w:pPr>
              <w:rPr>
                <w:rFonts w:ascii="Arial Narrow" w:hAnsi="Arial Narrow"/>
                <w:sz w:val="24"/>
                <w:szCs w:val="24"/>
              </w:rPr>
            </w:pPr>
          </w:p>
        </w:tc>
        <w:tc>
          <w:tcPr>
            <w:tcW w:w="7702" w:type="dxa"/>
            <w:tcBorders>
              <w:top w:val="nil"/>
              <w:left w:val="nil"/>
              <w:bottom w:val="nil"/>
              <w:right w:val="nil"/>
            </w:tcBorders>
          </w:tcPr>
          <w:p w:rsidR="00846414" w:rsidRDefault="00846414" w:rsidP="00AF1FB1">
            <w:pPr>
              <w:jc w:val="center"/>
              <w:rPr>
                <w:noProof/>
                <w:lang w:eastAsia="fr-CA"/>
              </w:rPr>
            </w:pPr>
          </w:p>
          <w:p w:rsidR="00057923" w:rsidRDefault="00057923" w:rsidP="00AF1FB1">
            <w:pPr>
              <w:jc w:val="center"/>
              <w:rPr>
                <w:noProof/>
                <w:lang w:eastAsia="fr-CA"/>
              </w:rPr>
            </w:pPr>
          </w:p>
          <w:p w:rsidR="00057923" w:rsidRDefault="00057923" w:rsidP="00AF1FB1">
            <w:pPr>
              <w:jc w:val="center"/>
              <w:rPr>
                <w:noProof/>
                <w:lang w:eastAsia="fr-CA"/>
              </w:rPr>
            </w:pPr>
          </w:p>
          <w:p w:rsidR="00057923" w:rsidRDefault="00057923" w:rsidP="00AF1FB1">
            <w:pPr>
              <w:jc w:val="center"/>
              <w:rPr>
                <w:noProof/>
                <w:lang w:eastAsia="fr-CA"/>
              </w:rPr>
            </w:pPr>
          </w:p>
        </w:tc>
      </w:tr>
    </w:tbl>
    <w:p w:rsidR="00846414" w:rsidRDefault="00846414" w:rsidP="00AF1FB1">
      <w:pPr>
        <w:jc w:val="center"/>
        <w:rPr>
          <w:rFonts w:ascii="Arial Narrow" w:hAnsi="Arial Narrow"/>
          <w:b/>
          <w:i/>
          <w:color w:val="4F6228" w:themeColor="accent3" w:themeShade="80"/>
          <w:sz w:val="2"/>
          <w:szCs w:val="2"/>
        </w:rPr>
      </w:pPr>
    </w:p>
    <w:tbl>
      <w:tblPr>
        <w:tblStyle w:val="Grilledutableau"/>
        <w:tblW w:w="0" w:type="auto"/>
        <w:tblLook w:val="04A0" w:firstRow="1" w:lastRow="0" w:firstColumn="1" w:lastColumn="0" w:noHBand="0" w:noVBand="1"/>
      </w:tblPr>
      <w:tblGrid>
        <w:gridCol w:w="7702"/>
        <w:gridCol w:w="7702"/>
      </w:tblGrid>
      <w:tr w:rsidR="001E431F" w:rsidTr="009A6DAF">
        <w:trPr>
          <w:trHeight w:val="530"/>
        </w:trPr>
        <w:tc>
          <w:tcPr>
            <w:tcW w:w="7702" w:type="dxa"/>
            <w:tcBorders>
              <w:top w:val="nil"/>
              <w:left w:val="nil"/>
              <w:bottom w:val="nil"/>
              <w:right w:val="nil"/>
            </w:tcBorders>
            <w:vAlign w:val="bottom"/>
          </w:tcPr>
          <w:p w:rsidR="001E431F" w:rsidRPr="001E431F" w:rsidRDefault="001E431F" w:rsidP="009A6DAF">
            <w:pPr>
              <w:rPr>
                <w:rFonts w:ascii="Arial Narrow" w:hAnsi="Arial Narrow"/>
                <w:b/>
                <w:i/>
                <w:color w:val="4F6228" w:themeColor="accent3" w:themeShade="80"/>
                <w:sz w:val="28"/>
                <w:szCs w:val="28"/>
              </w:rPr>
            </w:pPr>
            <w:r>
              <w:rPr>
                <w:rFonts w:ascii="Arial Narrow" w:hAnsi="Arial Narrow"/>
                <w:b/>
                <w:i/>
                <w:color w:val="4F6228" w:themeColor="accent3" w:themeShade="80"/>
                <w:sz w:val="28"/>
                <w:szCs w:val="28"/>
              </w:rPr>
              <w:lastRenderedPageBreak/>
              <w:t>Résumé</w:t>
            </w:r>
          </w:p>
        </w:tc>
        <w:tc>
          <w:tcPr>
            <w:tcW w:w="7702" w:type="dxa"/>
            <w:vMerge w:val="restart"/>
            <w:tcBorders>
              <w:top w:val="nil"/>
              <w:left w:val="nil"/>
              <w:bottom w:val="nil"/>
              <w:right w:val="nil"/>
            </w:tcBorders>
          </w:tcPr>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Pr="00122CB0" w:rsidRDefault="00227AB5" w:rsidP="00CB4684">
            <w:pPr>
              <w:jc w:val="center"/>
              <w:rPr>
                <w:rFonts w:ascii="Arial Narrow" w:hAnsi="Arial Narrow"/>
                <w:b/>
                <w:i/>
                <w:smallCaps/>
                <w:color w:val="4F6228" w:themeColor="accent3" w:themeShade="80"/>
                <w:sz w:val="36"/>
                <w:szCs w:val="36"/>
              </w:rPr>
            </w:pPr>
            <w:r w:rsidRPr="00122CB0">
              <w:rPr>
                <w:rFonts w:ascii="Arial Narrow" w:hAnsi="Arial Narrow"/>
                <w:b/>
                <w:i/>
                <w:smallCaps/>
                <w:color w:val="4F6228" w:themeColor="accent3" w:themeShade="80"/>
                <w:sz w:val="36"/>
                <w:szCs w:val="36"/>
              </w:rPr>
              <w:t>Soutenance de thèse</w:t>
            </w:r>
          </w:p>
          <w:p w:rsidR="00227AB5" w:rsidRPr="001E431F" w:rsidRDefault="00C03365" w:rsidP="00CB4684">
            <w:pPr>
              <w:jc w:val="center"/>
              <w:rPr>
                <w:rFonts w:ascii="Arial Narrow" w:hAnsi="Arial Narrow"/>
                <w:b/>
                <w:i/>
                <w:smallCaps/>
                <w:color w:val="4F6228" w:themeColor="accent3" w:themeShade="80"/>
                <w:sz w:val="32"/>
                <w:szCs w:val="32"/>
              </w:rPr>
            </w:pPr>
            <w:r>
              <w:rPr>
                <w:rFonts w:ascii="Arial Narrow" w:hAnsi="Arial Narrow"/>
                <w:b/>
                <w:i/>
                <w:smallCaps/>
                <w:color w:val="4F6228" w:themeColor="accent3" w:themeShade="80"/>
                <w:sz w:val="36"/>
                <w:szCs w:val="36"/>
              </w:rPr>
              <w:t>Simon-Pierre Guay</w:t>
            </w:r>
          </w:p>
        </w:tc>
      </w:tr>
      <w:tr w:rsidR="001E431F" w:rsidTr="009A6DAF">
        <w:trPr>
          <w:trHeight w:val="1196"/>
        </w:trPr>
        <w:tc>
          <w:tcPr>
            <w:tcW w:w="7702" w:type="dxa"/>
            <w:vMerge w:val="restart"/>
            <w:tcBorders>
              <w:top w:val="nil"/>
              <w:left w:val="nil"/>
              <w:bottom w:val="nil"/>
              <w:right w:val="nil"/>
            </w:tcBorders>
          </w:tcPr>
          <w:p w:rsidR="00CB4684" w:rsidRDefault="00CB4684">
            <w:pPr>
              <w:rPr>
                <w:rFonts w:ascii="Arial Narrow" w:hAnsi="Arial Narrow"/>
                <w:sz w:val="24"/>
                <w:szCs w:val="24"/>
              </w:rPr>
            </w:pPr>
            <w:r>
              <w:rPr>
                <w:rFonts w:ascii="Arial Narrow" w:hAnsi="Arial Narrow"/>
                <w:noProof/>
                <w:sz w:val="24"/>
                <w:szCs w:val="24"/>
                <w:lang w:eastAsia="fr-CA"/>
              </w:rPr>
              <mc:AlternateContent>
                <mc:Choice Requires="wps">
                  <w:drawing>
                    <wp:anchor distT="0" distB="0" distL="114300" distR="114300" simplePos="0" relativeHeight="251681792" behindDoc="0" locked="0" layoutInCell="1" allowOverlap="1" wp14:anchorId="12062549" wp14:editId="10D120C3">
                      <wp:simplePos x="0" y="0"/>
                      <wp:positionH relativeFrom="column">
                        <wp:posOffset>36195</wp:posOffset>
                      </wp:positionH>
                      <wp:positionV relativeFrom="paragraph">
                        <wp:posOffset>29845</wp:posOffset>
                      </wp:positionV>
                      <wp:extent cx="4619625" cy="1"/>
                      <wp:effectExtent l="38100" t="38100" r="66675" b="95250"/>
                      <wp:wrapNone/>
                      <wp:docPr id="15" name="Connecteur droit 15"/>
                      <wp:cNvGraphicFramePr/>
                      <a:graphic xmlns:a="http://schemas.openxmlformats.org/drawingml/2006/main">
                        <a:graphicData uri="http://schemas.microsoft.com/office/word/2010/wordprocessingShape">
                          <wps:wsp>
                            <wps:cNvCnPr/>
                            <wps:spPr>
                              <a:xfrm flipV="1">
                                <a:off x="0" y="0"/>
                                <a:ext cx="4619625" cy="1"/>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7EC4597A" id="Connecteur droit 15" o:spid="_x0000_s1026" style="position:absolute;flip:y;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2.35pt" to="366.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" strokecolor="#9bbb59 [3206]" strokeweight="2pt">
                      <v:shadow on="t" color="black" opacity="24903f" origin=",.5" offset="0,.55556mm"/>
                    </v:line>
                  </w:pict>
                </mc:Fallback>
              </mc:AlternateContent>
            </w:r>
          </w:p>
          <w:p w:rsidR="005B14A6" w:rsidRDefault="005B14A6" w:rsidP="005B14A6">
            <w:pPr>
              <w:spacing w:after="120"/>
              <w:jc w:val="both"/>
              <w:rPr>
                <w:bCs/>
              </w:rPr>
            </w:pPr>
            <w:r>
              <w:rPr>
                <w:bCs/>
              </w:rPr>
              <w:t>La maladie cardiovasculaire</w:t>
            </w:r>
            <w:r w:rsidR="00755A7F">
              <w:rPr>
                <w:bCs/>
              </w:rPr>
              <w:t xml:space="preserve"> (MCV)</w:t>
            </w:r>
            <w:r>
              <w:rPr>
                <w:bCs/>
              </w:rPr>
              <w:t xml:space="preserve"> représente encore aujourd’hui l’une des principales causes de décès et d’hospitalisation au Canada. Parmi les facteurs de risque de la MCV, la dyslipidémie est l’un des plus importants. En effet, des concentrations plasmatiques élevées de cholestérol transporté par les lipoprotéines de faible densité (c-LDL</w:t>
            </w:r>
            <w:r w:rsidR="00755A7F">
              <w:rPr>
                <w:bCs/>
              </w:rPr>
              <w:t>; communément appelé « mauvais » cholestérol) et</w:t>
            </w:r>
            <w:r>
              <w:rPr>
                <w:bCs/>
              </w:rPr>
              <w:t xml:space="preserve"> de triglycérides, ainsi que des concentrations faibles de cholestérol transporté par les lipoprotéines de haute densité (c-HDL</w:t>
            </w:r>
            <w:r w:rsidR="00755A7F">
              <w:rPr>
                <w:bCs/>
              </w:rPr>
              <w:t>; communément appelé « bon » cholestérol</w:t>
            </w:r>
            <w:r>
              <w:rPr>
                <w:bCs/>
              </w:rPr>
              <w:t>) ont été à maint</w:t>
            </w:r>
            <w:r w:rsidR="00755A7F">
              <w:rPr>
                <w:bCs/>
              </w:rPr>
              <w:t>es reprises identifiés comme</w:t>
            </w:r>
            <w:r>
              <w:rPr>
                <w:bCs/>
              </w:rPr>
              <w:t xml:space="preserve"> facteurs de risque indépendant</w:t>
            </w:r>
            <w:r w:rsidR="00755A7F">
              <w:rPr>
                <w:bCs/>
              </w:rPr>
              <w:t>s</w:t>
            </w:r>
            <w:r>
              <w:rPr>
                <w:bCs/>
              </w:rPr>
              <w:t xml:space="preserve"> de la MCV. Plusieurs facteurs héréditaires et environnementaux ont été associés aux concentrations de lipides plasmatiques. Toutefois, les facteurs héréditaires permettraient d’expliquer la plus grande proportion de la variabilité interindividuelle du bilan lipidique, particulièrement pour le c-HDL. Malgré l’étude de plusieurs millions de modifications génétiques, les principales causes moléculaires responsables de la forte héritabilité des concentrations de c-HDL demeurent pour l’instant encore inconnues. Afin d’expliquer l’héritabilité manquante des concentrations de lipides plasmatiques, plusieurs hypothèses ont été postulées. La présente thèse de doctorat présente l’une d’entre elles suggérant que l’étude de la méthylation de l’ADN, une modification épigénétique considérée comme un facteur héréditaire non traditionnel, permettrait d’identifier de nouvelles bases moléculaires associées aux dyslipidémies. Dans un premier temps, nous avons analysé la méthylation de l’ADN de plusieurs gènes du métabolisme lipoprotéique chez des sujets atteints d’hypercholestérolémie familiale (HF), un modèle humain de la MCV. Grâce à cette approche, nous avons pu démontrer que la méthylation de l’ADN de plusieurs </w:t>
            </w:r>
            <w:r w:rsidR="00755A7F">
              <w:rPr>
                <w:bCs/>
              </w:rPr>
              <w:t>de ces gènes</w:t>
            </w:r>
            <w:r>
              <w:rPr>
                <w:bCs/>
              </w:rPr>
              <w:t xml:space="preserve"> (</w:t>
            </w:r>
            <w:r w:rsidRPr="001A7AE5">
              <w:rPr>
                <w:bCs/>
                <w:i/>
              </w:rPr>
              <w:t>ABCA1</w:t>
            </w:r>
            <w:r>
              <w:rPr>
                <w:bCs/>
              </w:rPr>
              <w:t xml:space="preserve">, </w:t>
            </w:r>
            <w:r w:rsidRPr="001A7AE5">
              <w:rPr>
                <w:bCs/>
                <w:i/>
              </w:rPr>
              <w:t>ABCG1</w:t>
            </w:r>
            <w:r>
              <w:rPr>
                <w:bCs/>
              </w:rPr>
              <w:t xml:space="preserve">, </w:t>
            </w:r>
            <w:r w:rsidRPr="001A7AE5">
              <w:rPr>
                <w:bCs/>
                <w:i/>
              </w:rPr>
              <w:t>CETP</w:t>
            </w:r>
            <w:r>
              <w:rPr>
                <w:bCs/>
              </w:rPr>
              <w:t xml:space="preserve">, </w:t>
            </w:r>
            <w:r w:rsidRPr="001A7AE5">
              <w:rPr>
                <w:bCs/>
                <w:i/>
              </w:rPr>
              <w:t>LIPC</w:t>
            </w:r>
            <w:r>
              <w:rPr>
                <w:bCs/>
              </w:rPr>
              <w:t xml:space="preserve">, </w:t>
            </w:r>
            <w:r w:rsidRPr="001A7AE5">
              <w:rPr>
                <w:bCs/>
                <w:i/>
              </w:rPr>
              <w:t>LPL</w:t>
            </w:r>
            <w:r>
              <w:rPr>
                <w:bCs/>
              </w:rPr>
              <w:t xml:space="preserve"> et </w:t>
            </w:r>
            <w:r w:rsidRPr="001A7AE5">
              <w:rPr>
                <w:bCs/>
                <w:i/>
              </w:rPr>
              <w:t>PLTP</w:t>
            </w:r>
            <w:r w:rsidR="00755A7F">
              <w:rPr>
                <w:bCs/>
              </w:rPr>
              <w:t>) était associée à</w:t>
            </w:r>
            <w:r>
              <w:rPr>
                <w:bCs/>
              </w:rPr>
              <w:t xml:space="preserve"> la variabilité du bilan lipidique, ainsi qu’avec les antécédents de maladies coronariennes </w:t>
            </w:r>
            <w:proofErr w:type="spellStart"/>
            <w:r>
              <w:rPr>
                <w:bCs/>
              </w:rPr>
              <w:t>athérosclérotiques</w:t>
            </w:r>
            <w:proofErr w:type="spellEnd"/>
            <w:r>
              <w:rPr>
                <w:bCs/>
              </w:rPr>
              <w:t xml:space="preserve">. Dans un deuxième temps, une étude de la méthylation à l’échelle du génome d’un sous-groupe de patients HF nous a permis d’identifier de nouveaux </w:t>
            </w:r>
            <w:proofErr w:type="spellStart"/>
            <w:r>
              <w:rPr>
                <w:bCs/>
              </w:rPr>
              <w:t>loci</w:t>
            </w:r>
            <w:proofErr w:type="spellEnd"/>
            <w:r>
              <w:rPr>
                <w:bCs/>
              </w:rPr>
              <w:t xml:space="preserve"> associés à la concentration de c-HDL. Nous avons notamment observé que la méthylation de l’ADN du promoteur des gènes </w:t>
            </w:r>
            <w:r w:rsidRPr="001A7AE5">
              <w:rPr>
                <w:bCs/>
                <w:i/>
              </w:rPr>
              <w:t>TNNT1</w:t>
            </w:r>
            <w:r>
              <w:rPr>
                <w:bCs/>
              </w:rPr>
              <w:t xml:space="preserve"> et </w:t>
            </w:r>
            <w:r w:rsidRPr="001A7AE5">
              <w:rPr>
                <w:bCs/>
                <w:i/>
              </w:rPr>
              <w:t>ADRB3</w:t>
            </w:r>
            <w:r>
              <w:rPr>
                <w:bCs/>
                <w:i/>
              </w:rPr>
              <w:t xml:space="preserve"> </w:t>
            </w:r>
            <w:r>
              <w:rPr>
                <w:bCs/>
              </w:rPr>
              <w:t xml:space="preserve">était non seulement associée avec les concentrations de c-HDL, mais également avec d’autres facteurs de risque de la MCV. L’ensemble des résultats présentés dans cette thèse démontre que la méthylation de l’ADN contribue à la variabilité du bilan lipidique à jeun de patients atteints d’HF et que l’étude des modifications épigénétiques pourrait aider à expliquer l’héritabilité manquante des concentrations de </w:t>
            </w:r>
            <w:r w:rsidR="0020004D">
              <w:rPr>
                <w:bCs/>
              </w:rPr>
              <w:t xml:space="preserve">c-LDL, de c-HDL et de triglycérides plasmatiques </w:t>
            </w:r>
            <w:r>
              <w:rPr>
                <w:bCs/>
              </w:rPr>
              <w:t>.</w:t>
            </w:r>
          </w:p>
          <w:p w:rsidR="00227AB5" w:rsidRPr="001E431F" w:rsidRDefault="009A6DAF" w:rsidP="00BA378C">
            <w:pPr>
              <w:rPr>
                <w:rFonts w:ascii="Arial Narrow" w:hAnsi="Arial Narrow"/>
                <w:sz w:val="24"/>
                <w:szCs w:val="24"/>
              </w:rPr>
            </w:pPr>
            <w:r>
              <w:rPr>
                <w:rFonts w:ascii="Arial Narrow" w:hAnsi="Arial Narrow"/>
                <w:noProof/>
                <w:sz w:val="24"/>
                <w:szCs w:val="24"/>
                <w:lang w:eastAsia="fr-CA"/>
              </w:rPr>
              <mc:AlternateContent>
                <mc:Choice Requires="wps">
                  <w:drawing>
                    <wp:anchor distT="0" distB="0" distL="114300" distR="114300" simplePos="0" relativeHeight="251683840" behindDoc="0" locked="0" layoutInCell="1" allowOverlap="1" wp14:anchorId="4862CAF9" wp14:editId="11118D59">
                      <wp:simplePos x="0" y="0"/>
                      <wp:positionH relativeFrom="column">
                        <wp:posOffset>36195</wp:posOffset>
                      </wp:positionH>
                      <wp:positionV relativeFrom="paragraph">
                        <wp:posOffset>6509385</wp:posOffset>
                      </wp:positionV>
                      <wp:extent cx="4619625" cy="0"/>
                      <wp:effectExtent l="38100" t="38100" r="66675" b="95250"/>
                      <wp:wrapNone/>
                      <wp:docPr id="16" name="Connecteur droit 16"/>
                      <wp:cNvGraphicFramePr/>
                      <a:graphic xmlns:a="http://schemas.openxmlformats.org/drawingml/2006/main">
                        <a:graphicData uri="http://schemas.microsoft.com/office/word/2010/wordprocessingShape">
                          <wps:wsp>
                            <wps:cNvCnPr/>
                            <wps:spPr>
                              <a:xfrm flipV="1">
                                <a:off x="0" y="0"/>
                                <a:ext cx="4619625" cy="0"/>
                              </a:xfrm>
                              <a:prstGeom prst="line">
                                <a:avLst/>
                              </a:prstGeom>
                            </wps:spPr>
                            <wps:style>
                              <a:lnRef idx="2">
                                <a:schemeClr val="accent3"/>
                              </a:lnRef>
                              <a:fillRef idx="0">
                                <a:schemeClr val="accent3"/>
                              </a:fillRef>
                              <a:effectRef idx="1">
                                <a:schemeClr val="accent3"/>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B6FE629" id="Connecteur droit 16" o:spid="_x0000_s1026" style="position:absolute;flip:y;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5pt,512.55pt" to="366.6pt,5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" strokecolor="#9bbb59 [3206]" strokeweight="2pt">
                      <v:shadow on="t" color="black" opacity="24903f" origin=",.5" offset="0,.55556mm"/>
                    </v:line>
                  </w:pict>
                </mc:Fallback>
              </mc:AlternateContent>
            </w:r>
          </w:p>
        </w:tc>
        <w:tc>
          <w:tcPr>
            <w:tcW w:w="7702" w:type="dxa"/>
            <w:vMerge/>
            <w:tcBorders>
              <w:top w:val="nil"/>
              <w:left w:val="nil"/>
              <w:bottom w:val="nil"/>
              <w:right w:val="nil"/>
            </w:tcBorders>
          </w:tcPr>
          <w:p w:rsidR="001E431F" w:rsidRPr="001E431F" w:rsidRDefault="001E431F">
            <w:pPr>
              <w:rPr>
                <w:rFonts w:ascii="Arial Narrow" w:hAnsi="Arial Narrow"/>
                <w:b/>
                <w:i/>
                <w:color w:val="4F6228" w:themeColor="accent3" w:themeShade="80"/>
                <w:sz w:val="28"/>
                <w:szCs w:val="28"/>
              </w:rPr>
            </w:pPr>
          </w:p>
        </w:tc>
      </w:tr>
      <w:tr w:rsidR="001E431F" w:rsidTr="009A6DAF">
        <w:trPr>
          <w:trHeight w:val="1151"/>
        </w:trPr>
        <w:tc>
          <w:tcPr>
            <w:tcW w:w="7702" w:type="dxa"/>
            <w:vMerge/>
            <w:tcBorders>
              <w:top w:val="nil"/>
              <w:left w:val="nil"/>
              <w:bottom w:val="nil"/>
              <w:right w:val="nil"/>
            </w:tcBorders>
          </w:tcPr>
          <w:p w:rsidR="001E431F" w:rsidRPr="001E431F" w:rsidRDefault="001E431F">
            <w:pPr>
              <w:rPr>
                <w:rFonts w:ascii="Arial Narrow" w:hAnsi="Arial Narrow"/>
                <w:sz w:val="24"/>
                <w:szCs w:val="24"/>
              </w:rPr>
            </w:pPr>
          </w:p>
        </w:tc>
        <w:tc>
          <w:tcPr>
            <w:tcW w:w="7702" w:type="dxa"/>
            <w:tcBorders>
              <w:top w:val="nil"/>
              <w:left w:val="nil"/>
              <w:bottom w:val="nil"/>
              <w:right w:val="nil"/>
            </w:tcBorders>
            <w:vAlign w:val="bottom"/>
          </w:tcPr>
          <w:p w:rsidR="001E431F" w:rsidRPr="001E431F" w:rsidRDefault="001E431F" w:rsidP="001E431F">
            <w:pPr>
              <w:jc w:val="center"/>
              <w:rPr>
                <w:rFonts w:ascii="Arial Narrow" w:hAnsi="Arial Narrow"/>
                <w:b/>
                <w:i/>
                <w:color w:val="4F6228" w:themeColor="accent3" w:themeShade="80"/>
                <w:sz w:val="28"/>
                <w:szCs w:val="28"/>
                <w:u w:val="single"/>
              </w:rPr>
            </w:pPr>
            <w:r w:rsidRPr="001E431F">
              <w:rPr>
                <w:rFonts w:ascii="Arial Narrow" w:hAnsi="Arial Narrow"/>
                <w:b/>
                <w:i/>
                <w:color w:val="4F6228" w:themeColor="accent3" w:themeShade="80"/>
                <w:sz w:val="28"/>
                <w:szCs w:val="28"/>
                <w:u w:val="single"/>
              </w:rPr>
              <w:t>Membres du jury</w:t>
            </w:r>
          </w:p>
        </w:tc>
      </w:tr>
      <w:tr w:rsidR="001E431F" w:rsidTr="009A6DAF">
        <w:trPr>
          <w:trHeight w:val="8603"/>
        </w:trPr>
        <w:tc>
          <w:tcPr>
            <w:tcW w:w="7702" w:type="dxa"/>
            <w:vMerge/>
            <w:tcBorders>
              <w:top w:val="nil"/>
              <w:left w:val="nil"/>
              <w:bottom w:val="nil"/>
              <w:right w:val="nil"/>
            </w:tcBorders>
          </w:tcPr>
          <w:p w:rsidR="001E431F" w:rsidRPr="001E431F" w:rsidRDefault="001E431F">
            <w:pPr>
              <w:rPr>
                <w:rFonts w:ascii="Arial Narrow" w:hAnsi="Arial Narrow"/>
                <w:sz w:val="24"/>
                <w:szCs w:val="24"/>
              </w:rPr>
            </w:pPr>
          </w:p>
        </w:tc>
        <w:tc>
          <w:tcPr>
            <w:tcW w:w="7702" w:type="dxa"/>
            <w:tcBorders>
              <w:top w:val="nil"/>
              <w:left w:val="nil"/>
              <w:bottom w:val="nil"/>
              <w:right w:val="nil"/>
            </w:tcBorders>
          </w:tcPr>
          <w:p w:rsidR="001E431F" w:rsidRDefault="001E431F" w:rsidP="001E431F">
            <w:pPr>
              <w:jc w:val="center"/>
              <w:rPr>
                <w:rFonts w:ascii="Arial Narrow" w:hAnsi="Arial Narrow"/>
                <w:b/>
                <w:i/>
                <w:color w:val="4F6228" w:themeColor="accent3" w:themeShade="80"/>
                <w:sz w:val="28"/>
                <w:szCs w:val="28"/>
              </w:rPr>
            </w:pPr>
          </w:p>
          <w:p w:rsidR="001E431F" w:rsidRDefault="001E431F" w:rsidP="001E431F">
            <w:pPr>
              <w:jc w:val="center"/>
              <w:rPr>
                <w:rFonts w:ascii="Arial Narrow" w:hAnsi="Arial Narrow"/>
                <w:b/>
                <w:i/>
                <w:color w:val="4F6228" w:themeColor="accent3" w:themeShade="80"/>
                <w:sz w:val="28"/>
                <w:szCs w:val="28"/>
              </w:rPr>
            </w:pPr>
          </w:p>
          <w:p w:rsidR="001E431F" w:rsidRPr="001E431F" w:rsidRDefault="00C03365" w:rsidP="001E431F">
            <w:pPr>
              <w:jc w:val="center"/>
              <w:rPr>
                <w:rFonts w:ascii="Arial Narrow" w:hAnsi="Arial Narrow"/>
                <w:sz w:val="26"/>
                <w:szCs w:val="26"/>
              </w:rPr>
            </w:pPr>
            <w:r>
              <w:rPr>
                <w:rFonts w:ascii="Arial Narrow" w:hAnsi="Arial Narrow"/>
                <w:sz w:val="26"/>
                <w:szCs w:val="26"/>
              </w:rPr>
              <w:t xml:space="preserve">Pr Martin </w:t>
            </w:r>
            <w:proofErr w:type="spellStart"/>
            <w:r>
              <w:rPr>
                <w:rFonts w:ascii="Arial Narrow" w:hAnsi="Arial Narrow"/>
                <w:sz w:val="26"/>
                <w:szCs w:val="26"/>
              </w:rPr>
              <w:t>Bisaillon</w:t>
            </w:r>
            <w:proofErr w:type="spellEnd"/>
            <w:r>
              <w:rPr>
                <w:rFonts w:ascii="Arial Narrow" w:hAnsi="Arial Narrow"/>
                <w:sz w:val="26"/>
                <w:szCs w:val="26"/>
              </w:rPr>
              <w:t>,</w:t>
            </w:r>
            <w:r w:rsidR="00122CB0">
              <w:rPr>
                <w:rFonts w:ascii="Arial Narrow" w:hAnsi="Arial Narrow"/>
                <w:sz w:val="26"/>
                <w:szCs w:val="26"/>
              </w:rPr>
              <w:t xml:space="preserve"> </w:t>
            </w:r>
            <w:r>
              <w:rPr>
                <w:rFonts w:ascii="Arial Narrow" w:hAnsi="Arial Narrow"/>
                <w:sz w:val="26"/>
                <w:szCs w:val="26"/>
              </w:rPr>
              <w:t>président</w:t>
            </w:r>
            <w:r w:rsidR="00122CB0">
              <w:rPr>
                <w:rFonts w:ascii="Arial Narrow" w:hAnsi="Arial Narrow"/>
                <w:sz w:val="26"/>
                <w:szCs w:val="26"/>
              </w:rPr>
              <w:t xml:space="preserve"> de jury</w:t>
            </w:r>
          </w:p>
          <w:p w:rsidR="001E431F" w:rsidRDefault="001E431F" w:rsidP="001E431F">
            <w:pPr>
              <w:jc w:val="center"/>
              <w:rPr>
                <w:rFonts w:ascii="Arial Narrow" w:hAnsi="Arial Narrow"/>
                <w:sz w:val="26"/>
                <w:szCs w:val="26"/>
              </w:rPr>
            </w:pPr>
          </w:p>
          <w:p w:rsidR="00783745" w:rsidRPr="001E431F" w:rsidRDefault="00783745" w:rsidP="001E431F">
            <w:pPr>
              <w:jc w:val="center"/>
              <w:rPr>
                <w:rFonts w:ascii="Arial Narrow" w:hAnsi="Arial Narrow"/>
                <w:sz w:val="26"/>
                <w:szCs w:val="26"/>
              </w:rPr>
            </w:pPr>
          </w:p>
          <w:p w:rsidR="001E431F" w:rsidRPr="001E431F" w:rsidRDefault="00122CB0" w:rsidP="001E431F">
            <w:pPr>
              <w:jc w:val="center"/>
              <w:rPr>
                <w:rFonts w:ascii="Arial Narrow" w:hAnsi="Arial Narrow"/>
                <w:sz w:val="26"/>
                <w:szCs w:val="26"/>
              </w:rPr>
            </w:pPr>
            <w:r>
              <w:rPr>
                <w:rFonts w:ascii="Arial Narrow" w:hAnsi="Arial Narrow"/>
                <w:sz w:val="26"/>
                <w:szCs w:val="26"/>
              </w:rPr>
              <w:t>Pr</w:t>
            </w:r>
            <w:r w:rsidR="00C03365">
              <w:rPr>
                <w:rFonts w:ascii="Arial Narrow" w:hAnsi="Arial Narrow"/>
                <w:sz w:val="26"/>
                <w:szCs w:val="26"/>
              </w:rPr>
              <w:t xml:space="preserve"> Luigi Bouchar</w:t>
            </w:r>
            <w:r w:rsidR="00417714">
              <w:rPr>
                <w:rFonts w:ascii="Arial Narrow" w:hAnsi="Arial Narrow"/>
                <w:sz w:val="26"/>
                <w:szCs w:val="26"/>
              </w:rPr>
              <w:t>d</w:t>
            </w:r>
            <w:r w:rsidR="00C03365">
              <w:rPr>
                <w:rFonts w:ascii="Arial Narrow" w:hAnsi="Arial Narrow"/>
                <w:sz w:val="26"/>
                <w:szCs w:val="26"/>
              </w:rPr>
              <w:t>, directeur</w:t>
            </w:r>
          </w:p>
          <w:p w:rsidR="001E431F" w:rsidRDefault="001E431F" w:rsidP="001E431F">
            <w:pPr>
              <w:jc w:val="center"/>
              <w:rPr>
                <w:rFonts w:ascii="Arial Narrow" w:hAnsi="Arial Narrow"/>
                <w:sz w:val="26"/>
                <w:szCs w:val="26"/>
              </w:rPr>
            </w:pPr>
          </w:p>
          <w:p w:rsidR="00783745" w:rsidRPr="001E431F" w:rsidRDefault="00783745" w:rsidP="001E431F">
            <w:pPr>
              <w:jc w:val="center"/>
              <w:rPr>
                <w:rFonts w:ascii="Arial Narrow" w:hAnsi="Arial Narrow"/>
                <w:sz w:val="26"/>
                <w:szCs w:val="26"/>
              </w:rPr>
            </w:pPr>
          </w:p>
          <w:p w:rsidR="001E431F" w:rsidRDefault="00C03365" w:rsidP="001E431F">
            <w:pPr>
              <w:jc w:val="center"/>
              <w:rPr>
                <w:rFonts w:ascii="Arial Narrow" w:hAnsi="Arial Narrow"/>
                <w:sz w:val="26"/>
                <w:szCs w:val="26"/>
              </w:rPr>
            </w:pPr>
            <w:proofErr w:type="spellStart"/>
            <w:r>
              <w:rPr>
                <w:rFonts w:ascii="Arial Narrow" w:hAnsi="Arial Narrow"/>
                <w:sz w:val="26"/>
                <w:szCs w:val="26"/>
              </w:rPr>
              <w:t>Pre</w:t>
            </w:r>
            <w:proofErr w:type="spellEnd"/>
            <w:r>
              <w:rPr>
                <w:rFonts w:ascii="Arial Narrow" w:hAnsi="Arial Narrow"/>
                <w:sz w:val="26"/>
                <w:szCs w:val="26"/>
              </w:rPr>
              <w:t xml:space="preserve"> Mélanie </w:t>
            </w:r>
            <w:proofErr w:type="spellStart"/>
            <w:r>
              <w:rPr>
                <w:rFonts w:ascii="Arial Narrow" w:hAnsi="Arial Narrow"/>
                <w:sz w:val="26"/>
                <w:szCs w:val="26"/>
              </w:rPr>
              <w:t>Plourde</w:t>
            </w:r>
            <w:proofErr w:type="spellEnd"/>
            <w:r w:rsidR="00122CB0">
              <w:rPr>
                <w:rFonts w:ascii="Arial Narrow" w:hAnsi="Arial Narrow"/>
                <w:sz w:val="26"/>
                <w:szCs w:val="26"/>
              </w:rPr>
              <w:t>, membre externe au programme</w:t>
            </w:r>
          </w:p>
          <w:p w:rsidR="005B6BB5" w:rsidRPr="001E431F" w:rsidRDefault="00C03365" w:rsidP="001E431F">
            <w:pPr>
              <w:jc w:val="center"/>
              <w:rPr>
                <w:rFonts w:ascii="Arial Narrow" w:hAnsi="Arial Narrow"/>
                <w:sz w:val="26"/>
                <w:szCs w:val="26"/>
              </w:rPr>
            </w:pPr>
            <w:r>
              <w:rPr>
                <w:rFonts w:ascii="Arial Narrow" w:hAnsi="Arial Narrow"/>
                <w:sz w:val="26"/>
                <w:szCs w:val="26"/>
              </w:rPr>
              <w:t>Département de médecine – service de gériatrie</w:t>
            </w:r>
          </w:p>
          <w:p w:rsidR="001E431F" w:rsidRDefault="001E431F" w:rsidP="001E431F">
            <w:pPr>
              <w:jc w:val="center"/>
              <w:rPr>
                <w:rFonts w:ascii="Arial Narrow" w:hAnsi="Arial Narrow"/>
                <w:sz w:val="26"/>
                <w:szCs w:val="26"/>
              </w:rPr>
            </w:pPr>
          </w:p>
          <w:p w:rsidR="00783745" w:rsidRPr="001E431F" w:rsidRDefault="00783745" w:rsidP="001E431F">
            <w:pPr>
              <w:jc w:val="center"/>
              <w:rPr>
                <w:rFonts w:ascii="Arial Narrow" w:hAnsi="Arial Narrow"/>
                <w:sz w:val="26"/>
                <w:szCs w:val="26"/>
              </w:rPr>
            </w:pPr>
          </w:p>
          <w:p w:rsidR="001E431F" w:rsidRPr="001E431F" w:rsidRDefault="00C03365" w:rsidP="001E431F">
            <w:pPr>
              <w:jc w:val="center"/>
              <w:rPr>
                <w:rFonts w:ascii="Arial Narrow" w:hAnsi="Arial Narrow"/>
                <w:sz w:val="26"/>
                <w:szCs w:val="26"/>
              </w:rPr>
            </w:pPr>
            <w:r>
              <w:rPr>
                <w:rFonts w:ascii="Arial Narrow" w:hAnsi="Arial Narrow"/>
                <w:sz w:val="26"/>
                <w:szCs w:val="26"/>
              </w:rPr>
              <w:t>Dr Jacques Genest</w:t>
            </w:r>
            <w:r w:rsidR="00122CB0">
              <w:rPr>
                <w:rFonts w:ascii="Arial Narrow" w:hAnsi="Arial Narrow"/>
                <w:sz w:val="26"/>
                <w:szCs w:val="26"/>
              </w:rPr>
              <w:t>, membre externe à l’Université</w:t>
            </w:r>
          </w:p>
          <w:p w:rsidR="001E431F" w:rsidRDefault="00C03365" w:rsidP="001E431F">
            <w:pPr>
              <w:jc w:val="center"/>
              <w:rPr>
                <w:rFonts w:ascii="Arial Narrow" w:hAnsi="Arial Narrow"/>
                <w:sz w:val="26"/>
                <w:szCs w:val="26"/>
              </w:rPr>
            </w:pPr>
            <w:r>
              <w:rPr>
                <w:rFonts w:ascii="Arial Narrow" w:hAnsi="Arial Narrow"/>
                <w:sz w:val="26"/>
                <w:szCs w:val="26"/>
              </w:rPr>
              <w:t>Faculté et département de médecine, Université McGill</w:t>
            </w:r>
          </w:p>
          <w:p w:rsidR="00783745" w:rsidRPr="001E431F" w:rsidRDefault="00783745" w:rsidP="005B6BB5">
            <w:pPr>
              <w:rPr>
                <w:rFonts w:ascii="Arial Narrow" w:hAnsi="Arial Narrow"/>
                <w:sz w:val="26"/>
                <w:szCs w:val="26"/>
              </w:rPr>
            </w:pPr>
          </w:p>
          <w:p w:rsidR="001E431F" w:rsidRPr="001E431F" w:rsidRDefault="001E431F" w:rsidP="005B6BB5">
            <w:pPr>
              <w:rPr>
                <w:rFonts w:ascii="Arial Narrow" w:hAnsi="Arial Narrow"/>
                <w:sz w:val="26"/>
                <w:szCs w:val="26"/>
              </w:rPr>
            </w:pPr>
          </w:p>
          <w:p w:rsidR="001E431F" w:rsidRPr="00C03365" w:rsidRDefault="00122CB0" w:rsidP="00CB4684">
            <w:pPr>
              <w:jc w:val="center"/>
              <w:rPr>
                <w:rFonts w:ascii="Arial Narrow" w:hAnsi="Arial Narrow"/>
                <w:color w:val="FF0000"/>
                <w:sz w:val="26"/>
                <w:szCs w:val="26"/>
              </w:rPr>
            </w:pPr>
            <w:r w:rsidRPr="00C03365">
              <w:rPr>
                <w:rFonts w:ascii="Arial Narrow" w:hAnsi="Arial Narrow"/>
                <w:color w:val="FF0000"/>
                <w:sz w:val="26"/>
                <w:szCs w:val="26"/>
              </w:rPr>
              <w:t>Pr …, représentant(e) du doyen</w:t>
            </w:r>
          </w:p>
          <w:p w:rsidR="005B6BB5" w:rsidRPr="001E431F" w:rsidRDefault="005B6BB5" w:rsidP="00CB4684">
            <w:pPr>
              <w:jc w:val="center"/>
              <w:rPr>
                <w:rFonts w:ascii="Arial Narrow" w:hAnsi="Arial Narrow"/>
                <w:sz w:val="24"/>
                <w:szCs w:val="24"/>
              </w:rPr>
            </w:pPr>
            <w:r w:rsidRPr="00C03365">
              <w:rPr>
                <w:rFonts w:ascii="Arial Narrow" w:hAnsi="Arial Narrow"/>
                <w:color w:val="FF0000"/>
                <w:sz w:val="26"/>
                <w:szCs w:val="26"/>
              </w:rPr>
              <w:t>(indiquer le département)</w:t>
            </w:r>
          </w:p>
        </w:tc>
      </w:tr>
    </w:tbl>
    <w:p w:rsidR="008102E0" w:rsidRPr="00AF1FB1" w:rsidRDefault="008102E0" w:rsidP="001E431F">
      <w:pPr>
        <w:rPr>
          <w:rFonts w:ascii="Arial Narrow" w:hAnsi="Arial Narrow"/>
          <w:b/>
          <w:i/>
          <w:color w:val="4F6228" w:themeColor="accent3" w:themeShade="80"/>
          <w:sz w:val="2"/>
          <w:szCs w:val="2"/>
        </w:rPr>
      </w:pPr>
    </w:p>
    <w:sectPr w:rsidR="008102E0" w:rsidRPr="00AF1FB1" w:rsidSect="00AF1FB1">
      <w:pgSz w:w="15840" w:h="12240" w:orient="landscape"/>
      <w:pgMar w:top="288" w:right="288" w:bottom="288" w:left="2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9B48FC"/>
    <w:multiLevelType w:val="hybridMultilevel"/>
    <w:tmpl w:val="F31AD000"/>
    <w:lvl w:ilvl="0" w:tplc="06C02E70">
      <w:start w:val="30"/>
      <w:numFmt w:val="bullet"/>
      <w:lvlText w:val="-"/>
      <w:lvlJc w:val="left"/>
      <w:pPr>
        <w:ind w:left="720" w:hanging="360"/>
      </w:pPr>
      <w:rPr>
        <w:rFonts w:ascii="Century Gothic" w:eastAsiaTheme="minorHAnsi" w:hAnsi="Century Gothic" w:cstheme="minorBid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6CB34F3A"/>
    <w:multiLevelType w:val="hybridMultilevel"/>
    <w:tmpl w:val="F2E03E74"/>
    <w:lvl w:ilvl="0" w:tplc="BBE252E8">
      <w:start w:val="5"/>
      <w:numFmt w:val="bullet"/>
      <w:lvlText w:val="-"/>
      <w:lvlJc w:val="left"/>
      <w:pPr>
        <w:ind w:left="720" w:hanging="360"/>
      </w:pPr>
      <w:rPr>
        <w:rFonts w:ascii="Century Gothic" w:eastAsiaTheme="minorHAnsi" w:hAnsi="Century Gothic" w:cstheme="minorBidi" w:hint="default"/>
        <w:i/>
        <w:sz w:val="19"/>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B1"/>
    <w:rsid w:val="0000045F"/>
    <w:rsid w:val="00057923"/>
    <w:rsid w:val="00063FCD"/>
    <w:rsid w:val="000A0502"/>
    <w:rsid w:val="000A13CE"/>
    <w:rsid w:val="00102361"/>
    <w:rsid w:val="00122CB0"/>
    <w:rsid w:val="001A520A"/>
    <w:rsid w:val="001E3C03"/>
    <w:rsid w:val="001E431F"/>
    <w:rsid w:val="0020004D"/>
    <w:rsid w:val="00227AB5"/>
    <w:rsid w:val="002A6B3E"/>
    <w:rsid w:val="002D6641"/>
    <w:rsid w:val="002F15E4"/>
    <w:rsid w:val="003F2062"/>
    <w:rsid w:val="00417714"/>
    <w:rsid w:val="004A2053"/>
    <w:rsid w:val="005B14A6"/>
    <w:rsid w:val="005B6BB5"/>
    <w:rsid w:val="00665CAB"/>
    <w:rsid w:val="00697C62"/>
    <w:rsid w:val="006F55FF"/>
    <w:rsid w:val="0075046F"/>
    <w:rsid w:val="00755A7F"/>
    <w:rsid w:val="00783745"/>
    <w:rsid w:val="008102E0"/>
    <w:rsid w:val="00827013"/>
    <w:rsid w:val="00846414"/>
    <w:rsid w:val="008B347C"/>
    <w:rsid w:val="00953A1B"/>
    <w:rsid w:val="009A6DAF"/>
    <w:rsid w:val="009B0DFF"/>
    <w:rsid w:val="00AF1FB1"/>
    <w:rsid w:val="00B76D20"/>
    <w:rsid w:val="00BA378C"/>
    <w:rsid w:val="00BC13C2"/>
    <w:rsid w:val="00C03365"/>
    <w:rsid w:val="00CB4684"/>
    <w:rsid w:val="00DB03E0"/>
    <w:rsid w:val="00EE64B2"/>
    <w:rsid w:val="00F66F5C"/>
    <w:rsid w:val="00F920F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Paragraphedeliste">
    <w:name w:val="List Paragraph"/>
    <w:basedOn w:val="Normal"/>
    <w:uiPriority w:val="34"/>
    <w:qFormat/>
    <w:rsid w:val="00C033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Gothic" w:eastAsiaTheme="minorHAnsi" w:hAnsi="Century Gothic" w:cstheme="minorBidi"/>
        <w:sz w:val="19"/>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2A6B3E"/>
    <w:pPr>
      <w:framePr w:w="7938" w:h="1985" w:hRule="exact" w:hSpace="141" w:wrap="auto" w:hAnchor="page" w:xAlign="center" w:yAlign="bottom"/>
      <w:spacing w:after="0" w:line="240" w:lineRule="auto"/>
      <w:ind w:left="2835"/>
    </w:pPr>
    <w:rPr>
      <w:rFonts w:eastAsiaTheme="majorEastAsia" w:cstheme="majorBidi"/>
      <w:sz w:val="20"/>
      <w:szCs w:val="24"/>
    </w:rPr>
  </w:style>
  <w:style w:type="table" w:styleId="Grilledutableau">
    <w:name w:val="Table Grid"/>
    <w:basedOn w:val="TableauNormal"/>
    <w:uiPriority w:val="59"/>
    <w:rsid w:val="00AF1F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701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27013"/>
    <w:rPr>
      <w:rFonts w:ascii="Tahoma" w:hAnsi="Tahoma" w:cs="Tahoma"/>
      <w:sz w:val="16"/>
      <w:szCs w:val="16"/>
    </w:rPr>
  </w:style>
  <w:style w:type="paragraph" w:styleId="Paragraphedeliste">
    <w:name w:val="List Paragraph"/>
    <w:basedOn w:val="Normal"/>
    <w:uiPriority w:val="34"/>
    <w:qFormat/>
    <w:rsid w:val="00C033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880</Words>
  <Characters>4846</Characters>
  <Application>Microsoft Office Word</Application>
  <DocSecurity>4</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FMSS</Company>
  <LinksUpToDate>false</LinksUpToDate>
  <CharactersWithSpaces>5715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Bérubé</dc:creator>
  <cp:lastModifiedBy>Roch, Marie-Paule</cp:lastModifiedBy>
  <cp:revision>2</cp:revision>
  <cp:lastPrinted>2014-02-24T20:46:00Z</cp:lastPrinted>
  <dcterms:created xsi:type="dcterms:W3CDTF">2014-02-25T13:33:00Z</dcterms:created>
  <dcterms:modified xsi:type="dcterms:W3CDTF">2014-02-25T13:33:00Z</dcterms:modified>
</cp:coreProperties>
</file>